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D3" w:rsidRPr="0040076F" w:rsidRDefault="000661D3" w:rsidP="000661D3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>
        <w:rPr>
          <w:rFonts w:ascii="Arial" w:hAnsi="Arial" w:cs="Arial"/>
          <w:b/>
          <w:sz w:val="22"/>
          <w:szCs w:val="22"/>
        </w:rPr>
        <w:t>ALCESTE CIMINO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0661D3" w:rsidRPr="0040076F" w:rsidRDefault="000661D3" w:rsidP="000661D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661D3" w:rsidRPr="005A6670" w:rsidRDefault="000661D3" w:rsidP="000661D3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100</w:t>
      </w:r>
      <w:r w:rsidRPr="005A6670">
        <w:rPr>
          <w:rFonts w:ascii="Arial" w:hAnsi="Arial" w:cs="Arial"/>
          <w:b/>
          <w:sz w:val="22"/>
          <w:szCs w:val="22"/>
        </w:rPr>
        <w:t>/2019</w:t>
      </w:r>
    </w:p>
    <w:p w:rsidR="000661D3" w:rsidRPr="0040076F" w:rsidRDefault="000661D3" w:rsidP="000661D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661D3" w:rsidRPr="008969E8" w:rsidRDefault="000661D3" w:rsidP="000661D3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</w:t>
      </w:r>
      <w:r w:rsidRPr="008969E8">
        <w:rPr>
          <w:rFonts w:ascii="Arial" w:hAnsi="Arial" w:cs="Arial"/>
          <w:sz w:val="22"/>
          <w:szCs w:val="22"/>
        </w:rPr>
        <w:t xml:space="preserve">Prefeitura Municipal, situada na Avenida Silvério Augusto de Melo, 158, Centro, Desterro do Melo/MG, inscrita no CNPJ sob o nº 18.094.813/0001-53, neste ato representado pela Prefeita Municipal, Márcia Cristina Machado Amaral, doravante </w:t>
      </w:r>
      <w:r w:rsidRPr="00AC4FD5">
        <w:rPr>
          <w:rFonts w:ascii="Arial" w:hAnsi="Arial" w:cs="Arial"/>
          <w:sz w:val="22"/>
          <w:szCs w:val="22"/>
        </w:rPr>
        <w:t xml:space="preserve">denominado </w:t>
      </w:r>
      <w:r>
        <w:rPr>
          <w:rFonts w:ascii="Arial" w:hAnsi="Arial" w:cs="Arial"/>
          <w:b/>
          <w:sz w:val="22"/>
          <w:szCs w:val="22"/>
        </w:rPr>
        <w:t>ALCESTE CIMINO</w:t>
      </w:r>
      <w:r w:rsidRPr="00DD7EFE">
        <w:rPr>
          <w:rFonts w:ascii="Arial" w:hAnsi="Arial" w:cs="Arial"/>
          <w:sz w:val="22"/>
          <w:szCs w:val="22"/>
        </w:rPr>
        <w:t xml:space="preserve">, portador do CPF: </w:t>
      </w:r>
      <w:r w:rsidR="004C3627">
        <w:rPr>
          <w:rFonts w:ascii="Arial" w:hAnsi="Arial" w:cs="Arial"/>
          <w:sz w:val="22"/>
          <w:szCs w:val="22"/>
        </w:rPr>
        <w:t>478.975.976-87</w:t>
      </w:r>
      <w:r w:rsidRPr="00DD7EFE">
        <w:rPr>
          <w:rFonts w:ascii="Arial" w:hAnsi="Arial" w:cs="Arial"/>
          <w:sz w:val="22"/>
          <w:szCs w:val="22"/>
        </w:rPr>
        <w:t xml:space="preserve">, residente e domiciliado na Rua </w:t>
      </w:r>
      <w:r w:rsidR="004C3627">
        <w:rPr>
          <w:rFonts w:ascii="Arial" w:hAnsi="Arial" w:cs="Arial"/>
          <w:sz w:val="22"/>
          <w:szCs w:val="22"/>
        </w:rPr>
        <w:t>Prefeito Amilcar Savassi</w:t>
      </w:r>
      <w:r w:rsidRPr="00DD7EFE">
        <w:rPr>
          <w:rFonts w:ascii="Arial" w:hAnsi="Arial" w:cs="Arial"/>
          <w:sz w:val="22"/>
          <w:szCs w:val="22"/>
        </w:rPr>
        <w:t xml:space="preserve">, nº </w:t>
      </w:r>
      <w:r w:rsidR="004C3627">
        <w:rPr>
          <w:rFonts w:ascii="Arial" w:hAnsi="Arial" w:cs="Arial"/>
          <w:sz w:val="22"/>
          <w:szCs w:val="22"/>
        </w:rPr>
        <w:t>883</w:t>
      </w:r>
      <w:r w:rsidRPr="00DD7EFE">
        <w:rPr>
          <w:rFonts w:ascii="Arial" w:hAnsi="Arial" w:cs="Arial"/>
          <w:sz w:val="22"/>
          <w:szCs w:val="22"/>
        </w:rPr>
        <w:t xml:space="preserve">, </w:t>
      </w:r>
      <w:r w:rsidR="004C3627">
        <w:rPr>
          <w:rFonts w:ascii="Arial" w:hAnsi="Arial" w:cs="Arial"/>
          <w:sz w:val="22"/>
          <w:szCs w:val="22"/>
        </w:rPr>
        <w:t>Correia de Almeida</w:t>
      </w:r>
      <w:r w:rsidRPr="00DD7EFE">
        <w:rPr>
          <w:rFonts w:ascii="Arial" w:hAnsi="Arial" w:cs="Arial"/>
          <w:sz w:val="22"/>
          <w:szCs w:val="22"/>
        </w:rPr>
        <w:t xml:space="preserve">, </w:t>
      </w:r>
      <w:r w:rsidR="004C3627">
        <w:rPr>
          <w:rFonts w:ascii="Arial" w:hAnsi="Arial" w:cs="Arial"/>
          <w:sz w:val="22"/>
          <w:szCs w:val="22"/>
        </w:rPr>
        <w:t>Barbacena</w:t>
      </w:r>
      <w:r w:rsidRPr="00DD7EFE">
        <w:rPr>
          <w:rFonts w:ascii="Arial" w:hAnsi="Arial" w:cs="Arial"/>
          <w:sz w:val="22"/>
          <w:szCs w:val="22"/>
        </w:rPr>
        <w:t>, Minas Gerais, CEP: 36.</w:t>
      </w:r>
      <w:r w:rsidR="004C3627">
        <w:rPr>
          <w:rFonts w:ascii="Arial" w:hAnsi="Arial" w:cs="Arial"/>
          <w:sz w:val="22"/>
          <w:szCs w:val="22"/>
        </w:rPr>
        <w:t>206</w:t>
      </w:r>
      <w:r w:rsidRPr="00DD7EFE">
        <w:rPr>
          <w:rFonts w:ascii="Arial" w:hAnsi="Arial" w:cs="Arial"/>
          <w:sz w:val="22"/>
          <w:szCs w:val="22"/>
        </w:rPr>
        <w:t>-000.</w:t>
      </w:r>
      <w:r w:rsidRPr="008C2F26">
        <w:rPr>
          <w:rFonts w:ascii="Arial" w:hAnsi="Arial" w:cs="Arial"/>
          <w:sz w:val="22"/>
          <w:szCs w:val="22"/>
        </w:rPr>
        <w:t xml:space="preserve">, denominado </w:t>
      </w:r>
      <w:r w:rsidRPr="008C2F26">
        <w:rPr>
          <w:rFonts w:ascii="Arial" w:hAnsi="Arial" w:cs="Arial"/>
          <w:b/>
          <w:sz w:val="22"/>
          <w:szCs w:val="22"/>
        </w:rPr>
        <w:t>cessionário,</w:t>
      </w:r>
      <w:r w:rsidRPr="008C2F26">
        <w:rPr>
          <w:rFonts w:ascii="Arial" w:hAnsi="Arial" w:cs="Arial"/>
          <w:sz w:val="22"/>
          <w:szCs w:val="22"/>
        </w:rPr>
        <w:t xml:space="preserve"> de conformidade com a Licitação</w:t>
      </w:r>
      <w:r w:rsidRPr="008C2F26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8C2F26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8C2F2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8C2F26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8C2F2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C2F26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8C2F26">
        <w:rPr>
          <w:rFonts w:ascii="Arial" w:hAnsi="Arial" w:cs="Arial"/>
          <w:sz w:val="22"/>
          <w:szCs w:val="22"/>
          <w:lang w:val="pt-PT"/>
        </w:rPr>
        <w:t xml:space="preserve"> com a proposta </w:t>
      </w:r>
      <w:r w:rsidRPr="008969E8">
        <w:rPr>
          <w:rFonts w:ascii="Arial" w:hAnsi="Arial" w:cs="Arial"/>
          <w:sz w:val="22"/>
          <w:szCs w:val="22"/>
          <w:lang w:val="pt-PT"/>
        </w:rPr>
        <w:t>respectiva, nos termos da Lei n</w:t>
      </w:r>
      <w:r w:rsidRPr="008969E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0661D3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0661D3" w:rsidRPr="0040076F" w:rsidRDefault="000661D3" w:rsidP="000661D3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661D3" w:rsidRPr="00F46E79" w:rsidRDefault="000661D3" w:rsidP="000661D3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>
        <w:rPr>
          <w:rFonts w:ascii="Arial" w:hAnsi="Arial" w:cs="Arial"/>
          <w:b/>
          <w:sz w:val="22"/>
          <w:szCs w:val="22"/>
          <w:lang w:val="pt-PT"/>
        </w:rPr>
        <w:t>R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>
        <w:rPr>
          <w:rFonts w:ascii="Arial" w:hAnsi="Arial" w:cs="Arial"/>
          <w:b/>
          <w:sz w:val="22"/>
          <w:szCs w:val="22"/>
          <w:lang w:val="pt-PT"/>
        </w:rPr>
        <w:t>1.</w:t>
      </w:r>
      <w:r w:rsidR="00F24353">
        <w:rPr>
          <w:rFonts w:ascii="Arial" w:hAnsi="Arial" w:cs="Arial"/>
          <w:b/>
          <w:sz w:val="22"/>
          <w:szCs w:val="22"/>
          <w:lang w:val="pt-PT"/>
        </w:rPr>
        <w:t>5</w:t>
      </w:r>
      <w:bookmarkStart w:id="0" w:name="_GoBack"/>
      <w:bookmarkEnd w:id="0"/>
      <w:r w:rsidR="003211CB">
        <w:rPr>
          <w:rFonts w:ascii="Arial" w:hAnsi="Arial" w:cs="Arial"/>
          <w:b/>
          <w:sz w:val="22"/>
          <w:szCs w:val="22"/>
          <w:lang w:val="pt-PT"/>
        </w:rPr>
        <w:t>0</w:t>
      </w:r>
      <w:r>
        <w:rPr>
          <w:rFonts w:ascii="Arial" w:hAnsi="Arial" w:cs="Arial"/>
          <w:b/>
          <w:sz w:val="22"/>
          <w:szCs w:val="22"/>
          <w:lang w:val="pt-PT"/>
        </w:rPr>
        <w:t>0,00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>
        <w:rPr>
          <w:rFonts w:ascii="Arial" w:hAnsi="Arial" w:cs="Arial"/>
          <w:b/>
          <w:sz w:val="22"/>
          <w:szCs w:val="22"/>
          <w:lang w:val="pt-PT"/>
        </w:rPr>
        <w:t xml:space="preserve">um mil </w:t>
      </w:r>
      <w:r w:rsidR="003211CB">
        <w:rPr>
          <w:rFonts w:ascii="Arial" w:hAnsi="Arial" w:cs="Arial"/>
          <w:b/>
          <w:sz w:val="22"/>
          <w:szCs w:val="22"/>
          <w:lang w:val="pt-PT"/>
        </w:rPr>
        <w:t>e quinhentos</w:t>
      </w:r>
      <w:r>
        <w:rPr>
          <w:rFonts w:ascii="Arial" w:hAnsi="Arial" w:cs="Arial"/>
          <w:b/>
          <w:sz w:val="22"/>
          <w:szCs w:val="22"/>
          <w:lang w:val="pt-PT"/>
        </w:rPr>
        <w:t xml:space="preserve"> reais)</w:t>
      </w:r>
      <w:r w:rsidRPr="005A6670">
        <w:rPr>
          <w:rFonts w:ascii="Arial" w:hAnsi="Arial" w:cs="Arial"/>
          <w:b/>
          <w:sz w:val="22"/>
          <w:szCs w:val="22"/>
          <w:lang w:val="pt-PT"/>
        </w:rPr>
        <w:t>,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Públicos denominado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: </w:t>
      </w:r>
      <w:r>
        <w:rPr>
          <w:rFonts w:ascii="Arial" w:hAnsi="Arial" w:cs="Arial"/>
          <w:sz w:val="22"/>
          <w:szCs w:val="22"/>
          <w:lang w:val="pt-PT"/>
        </w:rPr>
        <w:t xml:space="preserve">lote </w:t>
      </w:r>
      <w:r w:rsidR="00A0260A">
        <w:rPr>
          <w:rFonts w:ascii="Arial" w:hAnsi="Arial" w:cs="Arial"/>
          <w:sz w:val="22"/>
          <w:szCs w:val="22"/>
          <w:lang w:val="pt-PT"/>
        </w:rPr>
        <w:t>34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0661D3" w:rsidRPr="00F46E79" w:rsidRDefault="000661D3" w:rsidP="000661D3">
      <w:pPr>
        <w:widowControl w:val="0"/>
        <w:tabs>
          <w:tab w:val="left" w:pos="0"/>
          <w:tab w:val="left" w:pos="204"/>
          <w:tab w:val="left" w:pos="574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ab/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0661D3" w:rsidRPr="0040076F" w:rsidRDefault="000661D3" w:rsidP="000661D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0661D3" w:rsidRPr="0040076F" w:rsidRDefault="000661D3" w:rsidP="000661D3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0661D3" w:rsidRPr="0040076F" w:rsidRDefault="000661D3" w:rsidP="000661D3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0661D3" w:rsidRPr="0040076F" w:rsidRDefault="000661D3" w:rsidP="000661D3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0661D3" w:rsidRPr="0040076F" w:rsidRDefault="000661D3" w:rsidP="000661D3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0661D3" w:rsidRPr="0040076F" w:rsidRDefault="000661D3" w:rsidP="000661D3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1)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0661D3" w:rsidRPr="0040076F" w:rsidRDefault="000661D3" w:rsidP="000661D3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0661D3" w:rsidRPr="0040076F" w:rsidRDefault="000661D3" w:rsidP="000661D3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0661D3" w:rsidRPr="0040076F" w:rsidRDefault="000661D3" w:rsidP="000661D3">
      <w:pPr>
        <w:pStyle w:val="Recuodecorpodetexto3"/>
        <w:tabs>
          <w:tab w:val="left" w:pos="0"/>
        </w:tabs>
        <w:ind w:firstLine="0"/>
      </w:pPr>
      <w:r w:rsidRPr="0040076F">
        <w:rPr>
          <w:b/>
        </w:rPr>
        <w:t xml:space="preserve">4)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0661D3" w:rsidRPr="0040076F" w:rsidRDefault="000661D3" w:rsidP="000661D3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0661D3" w:rsidRPr="0040076F" w:rsidRDefault="000661D3" w:rsidP="000661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6)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0661D3" w:rsidRPr="0040076F" w:rsidRDefault="000661D3" w:rsidP="000661D3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7)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0661D3" w:rsidRPr="0040076F" w:rsidRDefault="000661D3" w:rsidP="000661D3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8)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0661D3" w:rsidRPr="0040076F" w:rsidRDefault="000661D3" w:rsidP="000661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0661D3" w:rsidRPr="0040076F" w:rsidRDefault="000661D3" w:rsidP="000661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0661D3" w:rsidRPr="0040076F" w:rsidRDefault="000661D3" w:rsidP="000661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0661D3" w:rsidRPr="0040076F" w:rsidRDefault="000661D3" w:rsidP="000661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0661D3" w:rsidRPr="0040076F" w:rsidRDefault="000661D3" w:rsidP="000661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0661D3" w:rsidRPr="0040076F" w:rsidRDefault="000661D3" w:rsidP="000661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>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0661D3" w:rsidRPr="0040076F" w:rsidRDefault="000661D3" w:rsidP="000661D3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0661D3" w:rsidRPr="0040076F" w:rsidRDefault="000661D3" w:rsidP="000661D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motos – no máximo R$ 10,00</w:t>
      </w:r>
    </w:p>
    <w:p w:rsidR="000661D3" w:rsidRPr="0040076F" w:rsidRDefault="000661D3" w:rsidP="000661D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de até 08 lugares – no máximo R$ 20,00</w:t>
      </w:r>
    </w:p>
    <w:p w:rsidR="000661D3" w:rsidRPr="0040076F" w:rsidRDefault="000661D3" w:rsidP="000661D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acima de 08 lugares – no máximo R$ 35,00</w:t>
      </w:r>
    </w:p>
    <w:p w:rsidR="000661D3" w:rsidRPr="0040076F" w:rsidRDefault="000661D3" w:rsidP="000661D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0661D3" w:rsidRPr="0040076F" w:rsidRDefault="000661D3" w:rsidP="000661D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0661D3" w:rsidRPr="0040076F" w:rsidRDefault="000661D3" w:rsidP="000661D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0661D3" w:rsidRPr="0040076F" w:rsidRDefault="000661D3" w:rsidP="000661D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0661D3" w:rsidRPr="0040076F" w:rsidRDefault="000661D3" w:rsidP="000661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4)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0661D3" w:rsidRPr="0040076F" w:rsidRDefault="000661D3" w:rsidP="000661D3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661D3" w:rsidRPr="0040076F" w:rsidRDefault="000661D3" w:rsidP="000661D3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661D3" w:rsidRPr="0040076F" w:rsidRDefault="000661D3" w:rsidP="000661D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0661D3" w:rsidRPr="0040076F" w:rsidRDefault="000661D3" w:rsidP="000661D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0661D3" w:rsidRPr="0040076F" w:rsidRDefault="000661D3" w:rsidP="000661D3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0661D3" w:rsidRPr="0040076F" w:rsidRDefault="000661D3" w:rsidP="000661D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0661D3" w:rsidRPr="0040076F" w:rsidRDefault="000661D3" w:rsidP="000661D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661D3" w:rsidRPr="0040076F" w:rsidRDefault="000661D3" w:rsidP="000661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0661D3" w:rsidRPr="0040076F" w:rsidRDefault="000661D3" w:rsidP="000661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0661D3" w:rsidRPr="0040076F" w:rsidRDefault="000661D3" w:rsidP="000661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0661D3" w:rsidRPr="0040076F" w:rsidRDefault="000661D3" w:rsidP="000661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0661D3" w:rsidRPr="0040076F" w:rsidRDefault="000661D3" w:rsidP="000661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0661D3" w:rsidRPr="0040076F" w:rsidRDefault="000661D3" w:rsidP="000661D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0661D3" w:rsidRPr="0040076F" w:rsidRDefault="000661D3" w:rsidP="000661D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661D3" w:rsidRPr="0040076F" w:rsidRDefault="000661D3" w:rsidP="000661D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0661D3" w:rsidRPr="0040076F" w:rsidRDefault="000661D3" w:rsidP="000661D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661D3" w:rsidRPr="0040076F" w:rsidRDefault="000661D3" w:rsidP="000661D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661D3" w:rsidRPr="0040076F" w:rsidRDefault="000661D3" w:rsidP="000661D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0661D3" w:rsidRPr="0040076F" w:rsidRDefault="000661D3" w:rsidP="000661D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661D3" w:rsidRPr="0040076F" w:rsidRDefault="000661D3" w:rsidP="000661D3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661D3" w:rsidRPr="0040076F" w:rsidRDefault="000661D3" w:rsidP="000661D3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661D3" w:rsidRPr="0040076F" w:rsidRDefault="000661D3" w:rsidP="000661D3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0661D3" w:rsidRPr="0040076F" w:rsidRDefault="000661D3" w:rsidP="000661D3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0661D3" w:rsidRPr="0040076F" w:rsidRDefault="000661D3" w:rsidP="000661D3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661D3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661D3" w:rsidRPr="0040076F" w:rsidRDefault="000661D3" w:rsidP="000661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661D3" w:rsidRPr="0040076F" w:rsidRDefault="000661D3" w:rsidP="000661D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0661D3" w:rsidRDefault="000661D3" w:rsidP="000661D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0661D3" w:rsidRPr="0040076F" w:rsidRDefault="000661D3" w:rsidP="000661D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0661D3" w:rsidRPr="0040076F" w:rsidRDefault="000661D3" w:rsidP="000661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0661D3" w:rsidRPr="0040076F" w:rsidRDefault="000661D3" w:rsidP="000661D3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0661D3" w:rsidRPr="0040076F" w:rsidRDefault="000661D3" w:rsidP="000661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0661D3" w:rsidRDefault="000661D3" w:rsidP="000661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0661D3" w:rsidRPr="0040076F" w:rsidRDefault="000661D3" w:rsidP="000661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0661D3" w:rsidRPr="0040076F" w:rsidRDefault="000661D3" w:rsidP="000661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0661D3" w:rsidRDefault="003211CB" w:rsidP="003211CB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ALCESTE CIMINO</w:t>
      </w:r>
    </w:p>
    <w:p w:rsidR="000661D3" w:rsidRDefault="000661D3" w:rsidP="000661D3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0661D3" w:rsidRDefault="000661D3" w:rsidP="000661D3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0661D3" w:rsidRPr="0040076F" w:rsidRDefault="000661D3" w:rsidP="000661D3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0661D3" w:rsidRPr="0040076F" w:rsidRDefault="000661D3" w:rsidP="000661D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0661D3" w:rsidRPr="001F3887" w:rsidRDefault="000661D3" w:rsidP="000661D3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661D3" w:rsidRPr="001F2AF5" w:rsidRDefault="000661D3" w:rsidP="000661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0661D3" w:rsidRPr="001F2AF5" w:rsidRDefault="000661D3" w:rsidP="000661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 w:rsidR="003211CB">
        <w:rPr>
          <w:rFonts w:ascii="Arial" w:hAnsi="Arial" w:cs="Arial"/>
          <w:i/>
          <w:sz w:val="22"/>
          <w:szCs w:val="22"/>
        </w:rPr>
        <w:t xml:space="preserve"> 100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0661D3" w:rsidRPr="001F2AF5" w:rsidRDefault="000661D3" w:rsidP="000661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3211CB" w:rsidRDefault="000661D3" w:rsidP="000661D3">
      <w:pPr>
        <w:jc w:val="both"/>
        <w:rPr>
          <w:rFonts w:ascii="Arial" w:hAnsi="Arial" w:cs="Arial"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="003211CB">
        <w:rPr>
          <w:rFonts w:ascii="Arial" w:hAnsi="Arial" w:cs="Arial"/>
          <w:b/>
          <w:sz w:val="22"/>
          <w:szCs w:val="22"/>
        </w:rPr>
        <w:t>ALCESTE CIMINO</w:t>
      </w:r>
      <w:r w:rsidR="003211CB" w:rsidRPr="00DD7EFE">
        <w:rPr>
          <w:rFonts w:ascii="Arial" w:hAnsi="Arial" w:cs="Arial"/>
          <w:sz w:val="22"/>
          <w:szCs w:val="22"/>
        </w:rPr>
        <w:t xml:space="preserve">, portador do CPF: </w:t>
      </w:r>
      <w:r w:rsidR="003211CB">
        <w:rPr>
          <w:rFonts w:ascii="Arial" w:hAnsi="Arial" w:cs="Arial"/>
          <w:sz w:val="22"/>
          <w:szCs w:val="22"/>
        </w:rPr>
        <w:t>478.975.976-87</w:t>
      </w:r>
      <w:r w:rsidR="003211CB" w:rsidRPr="00DD7EFE">
        <w:rPr>
          <w:rFonts w:ascii="Arial" w:hAnsi="Arial" w:cs="Arial"/>
          <w:sz w:val="22"/>
          <w:szCs w:val="22"/>
        </w:rPr>
        <w:t xml:space="preserve">, residente e domiciliado na Rua </w:t>
      </w:r>
      <w:r w:rsidR="003211CB">
        <w:rPr>
          <w:rFonts w:ascii="Arial" w:hAnsi="Arial" w:cs="Arial"/>
          <w:sz w:val="22"/>
          <w:szCs w:val="22"/>
        </w:rPr>
        <w:t>Prefeito Amilcar Savassi</w:t>
      </w:r>
      <w:r w:rsidR="003211CB" w:rsidRPr="00DD7EFE">
        <w:rPr>
          <w:rFonts w:ascii="Arial" w:hAnsi="Arial" w:cs="Arial"/>
          <w:sz w:val="22"/>
          <w:szCs w:val="22"/>
        </w:rPr>
        <w:t xml:space="preserve">, nº </w:t>
      </w:r>
      <w:r w:rsidR="003211CB">
        <w:rPr>
          <w:rFonts w:ascii="Arial" w:hAnsi="Arial" w:cs="Arial"/>
          <w:sz w:val="22"/>
          <w:szCs w:val="22"/>
        </w:rPr>
        <w:t>883</w:t>
      </w:r>
      <w:r w:rsidR="003211CB" w:rsidRPr="00DD7EFE">
        <w:rPr>
          <w:rFonts w:ascii="Arial" w:hAnsi="Arial" w:cs="Arial"/>
          <w:sz w:val="22"/>
          <w:szCs w:val="22"/>
        </w:rPr>
        <w:t xml:space="preserve">, </w:t>
      </w:r>
      <w:r w:rsidR="003211CB">
        <w:rPr>
          <w:rFonts w:ascii="Arial" w:hAnsi="Arial" w:cs="Arial"/>
          <w:sz w:val="22"/>
          <w:szCs w:val="22"/>
        </w:rPr>
        <w:t>Correia de Almeida</w:t>
      </w:r>
      <w:r w:rsidR="003211CB" w:rsidRPr="00DD7EFE">
        <w:rPr>
          <w:rFonts w:ascii="Arial" w:hAnsi="Arial" w:cs="Arial"/>
          <w:sz w:val="22"/>
          <w:szCs w:val="22"/>
        </w:rPr>
        <w:t xml:space="preserve">, </w:t>
      </w:r>
      <w:r w:rsidR="003211CB">
        <w:rPr>
          <w:rFonts w:ascii="Arial" w:hAnsi="Arial" w:cs="Arial"/>
          <w:sz w:val="22"/>
          <w:szCs w:val="22"/>
        </w:rPr>
        <w:t>Barbacena</w:t>
      </w:r>
      <w:r w:rsidR="003211CB" w:rsidRPr="00DD7EFE">
        <w:rPr>
          <w:rFonts w:ascii="Arial" w:hAnsi="Arial" w:cs="Arial"/>
          <w:sz w:val="22"/>
          <w:szCs w:val="22"/>
        </w:rPr>
        <w:t>, Minas Gerais, CEP: 36.</w:t>
      </w:r>
      <w:r w:rsidR="003211CB">
        <w:rPr>
          <w:rFonts w:ascii="Arial" w:hAnsi="Arial" w:cs="Arial"/>
          <w:sz w:val="22"/>
          <w:szCs w:val="22"/>
        </w:rPr>
        <w:t>206</w:t>
      </w:r>
      <w:r w:rsidR="003211CB" w:rsidRPr="00DD7EFE">
        <w:rPr>
          <w:rFonts w:ascii="Arial" w:hAnsi="Arial" w:cs="Arial"/>
          <w:sz w:val="22"/>
          <w:szCs w:val="22"/>
        </w:rPr>
        <w:t>-000.</w:t>
      </w:r>
      <w:r w:rsidR="003211CB" w:rsidRPr="008C2F26">
        <w:rPr>
          <w:rFonts w:ascii="Arial" w:hAnsi="Arial" w:cs="Arial"/>
          <w:sz w:val="22"/>
          <w:szCs w:val="22"/>
        </w:rPr>
        <w:t xml:space="preserve">, </w:t>
      </w:r>
    </w:p>
    <w:p w:rsidR="000661D3" w:rsidRDefault="000661D3" w:rsidP="00066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VALOR: R$ </w:t>
      </w:r>
      <w:r w:rsidR="003211CB">
        <w:rPr>
          <w:rFonts w:ascii="Arial" w:hAnsi="Arial" w:cs="Arial"/>
          <w:sz w:val="22"/>
          <w:szCs w:val="22"/>
        </w:rPr>
        <w:t>1.500</w:t>
      </w:r>
      <w:r>
        <w:rPr>
          <w:rFonts w:ascii="Arial" w:hAnsi="Arial" w:cs="Arial"/>
          <w:sz w:val="22"/>
          <w:szCs w:val="22"/>
        </w:rPr>
        <w:t xml:space="preserve">0,00 (um mil </w:t>
      </w:r>
      <w:r w:rsidR="003211CB">
        <w:rPr>
          <w:rFonts w:ascii="Arial" w:hAnsi="Arial" w:cs="Arial"/>
          <w:sz w:val="22"/>
          <w:szCs w:val="22"/>
        </w:rPr>
        <w:t>e quinhentos reais</w:t>
      </w:r>
      <w:r>
        <w:rPr>
          <w:rFonts w:ascii="Arial" w:hAnsi="Arial" w:cs="Arial"/>
          <w:sz w:val="22"/>
          <w:szCs w:val="22"/>
        </w:rPr>
        <w:t>)</w:t>
      </w:r>
    </w:p>
    <w:p w:rsidR="000661D3" w:rsidRPr="001F2AF5" w:rsidRDefault="000661D3" w:rsidP="000661D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0661D3" w:rsidRPr="001F2AF5" w:rsidRDefault="000661D3" w:rsidP="000661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0661D3" w:rsidRDefault="000661D3" w:rsidP="000661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0661D3" w:rsidRPr="001F2AF5" w:rsidRDefault="000661D3" w:rsidP="000661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Pr="001F2AF5">
        <w:rPr>
          <w:rFonts w:ascii="Arial" w:hAnsi="Arial" w:cs="Arial"/>
          <w:i/>
          <w:sz w:val="22"/>
          <w:szCs w:val="22"/>
        </w:rPr>
        <w:t>/08/2019</w:t>
      </w:r>
    </w:p>
    <w:p w:rsidR="000661D3" w:rsidRPr="001F2AF5" w:rsidRDefault="000661D3" w:rsidP="000661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0661D3" w:rsidRDefault="000661D3" w:rsidP="000661D3"/>
    <w:p w:rsidR="00AD19D3" w:rsidRDefault="00AD19D3"/>
    <w:sectPr w:rsidR="00AD19D3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D64BF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5D64BF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D64BF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5D64BF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D64B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24353">
      <w:rPr>
        <w:noProof/>
      </w:rPr>
      <w:t xml:space="preserve">6:08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5D64BF" w:rsidP="004C1D6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05D93BF" wp14:editId="00F9F85B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0B9791A" wp14:editId="36679D35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5D64BF" w:rsidP="004C1D6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5D64BF" w:rsidP="004C1D6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 xml:space="preserve">PROCESSO </w:t>
          </w:r>
          <w:r>
            <w:rPr>
              <w:rFonts w:eastAsia="Times New Roman"/>
              <w:sz w:val="16"/>
              <w:szCs w:val="16"/>
            </w:rPr>
            <w:t>DE LICITAÇÃO – 056/2019</w:t>
          </w:r>
        </w:p>
      </w:tc>
    </w:tr>
    <w:tr w:rsidR="008F12EA" w:rsidRPr="00AA0421" w:rsidTr="004C1D6E">
      <w:trPr>
        <w:cantSplit/>
        <w:trHeight w:val="343"/>
      </w:trPr>
      <w:tc>
        <w:tcPr>
          <w:tcW w:w="4888" w:type="dxa"/>
          <w:shd w:val="clear" w:color="auto" w:fill="FFFFFF"/>
        </w:tcPr>
        <w:p w:rsidR="008F12EA" w:rsidRPr="00AA0421" w:rsidRDefault="005D64BF" w:rsidP="004C1D6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8F12EA" w:rsidRPr="00E42776" w:rsidRDefault="005D64BF" w:rsidP="004C1D6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 xml:space="preserve"> POR ITEM</w:t>
          </w:r>
        </w:p>
      </w:tc>
    </w:tr>
    <w:tr w:rsidR="008F12EA" w:rsidRPr="00AA0421" w:rsidTr="004C1D6E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8F12EA" w:rsidRPr="00AA0421" w:rsidRDefault="005D64BF" w:rsidP="004C1D6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PARA XX</w:t>
          </w:r>
          <w:r>
            <w:rPr>
              <w:rFonts w:ascii="Arial" w:hAnsi="Arial" w:cs="Arial"/>
              <w:b/>
              <w:sz w:val="16"/>
              <w:szCs w:val="16"/>
            </w:rPr>
            <w:t>I</w:t>
          </w:r>
          <w:r>
            <w:rPr>
              <w:rFonts w:ascii="Arial" w:hAnsi="Arial" w:cs="Arial"/>
              <w:b/>
              <w:sz w:val="16"/>
              <w:szCs w:val="16"/>
            </w:rPr>
            <w:t>X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EXPOSIÇÃO AGROPECUÁRIA E TORNEIO LEITEIRO</w:t>
          </w:r>
        </w:p>
      </w:tc>
    </w:tr>
  </w:tbl>
  <w:p w:rsidR="008F12EA" w:rsidRPr="008F12EA" w:rsidRDefault="005D64BF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D3"/>
    <w:rsid w:val="000661D3"/>
    <w:rsid w:val="003211CB"/>
    <w:rsid w:val="004C3627"/>
    <w:rsid w:val="005D64BF"/>
    <w:rsid w:val="00A0260A"/>
    <w:rsid w:val="00AD19D3"/>
    <w:rsid w:val="00F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61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61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661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61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661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61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661D3"/>
  </w:style>
  <w:style w:type="paragraph" w:styleId="Corpodetexto2">
    <w:name w:val="Body Text 2"/>
    <w:basedOn w:val="Normal"/>
    <w:link w:val="Corpodetexto2Char"/>
    <w:rsid w:val="000661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661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661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661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661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661D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0661D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661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3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53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61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61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661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61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661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61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661D3"/>
  </w:style>
  <w:style w:type="paragraph" w:styleId="Corpodetexto2">
    <w:name w:val="Body Text 2"/>
    <w:basedOn w:val="Normal"/>
    <w:link w:val="Corpodetexto2Char"/>
    <w:rsid w:val="000661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661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661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661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661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661D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0661D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661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3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53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2026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2019-08-13T21:08:00Z</cp:lastPrinted>
  <dcterms:created xsi:type="dcterms:W3CDTF">2019-08-13T21:01:00Z</dcterms:created>
  <dcterms:modified xsi:type="dcterms:W3CDTF">2019-08-13T21:11:00Z</dcterms:modified>
</cp:coreProperties>
</file>