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886" w:rsidRDefault="00D96886" w:rsidP="00D96886"/>
    <w:p w:rsidR="00DD60C7" w:rsidRPr="007E7FBC" w:rsidRDefault="00DD60C7" w:rsidP="00DD60C7">
      <w:pPr>
        <w:ind w:right="-196"/>
        <w:jc w:val="center"/>
        <w:rPr>
          <w:rFonts w:ascii="Arial" w:eastAsia="Times New Roman" w:hAnsi="Arial" w:cs="Arial"/>
          <w:sz w:val="22"/>
          <w:szCs w:val="22"/>
        </w:rPr>
      </w:pPr>
      <w:r w:rsidRPr="007E7FBC">
        <w:rPr>
          <w:rFonts w:ascii="Arial" w:eastAsia="Times New Roman" w:hAnsi="Arial" w:cs="Arial"/>
          <w:b/>
          <w:sz w:val="22"/>
          <w:szCs w:val="22"/>
        </w:rPr>
        <w:t xml:space="preserve">ATA DE REGISTRO DE PREÇOS Nº </w:t>
      </w:r>
      <w:r w:rsidR="007E7FBC" w:rsidRPr="007E7FBC">
        <w:rPr>
          <w:rFonts w:ascii="Arial" w:eastAsia="Times New Roman" w:hAnsi="Arial" w:cs="Arial"/>
          <w:b/>
          <w:sz w:val="22"/>
          <w:szCs w:val="22"/>
        </w:rPr>
        <w:t>035</w:t>
      </w:r>
      <w:r w:rsidRPr="007E7FBC">
        <w:rPr>
          <w:rFonts w:ascii="Arial" w:eastAsia="Times New Roman" w:hAnsi="Arial" w:cs="Arial"/>
          <w:b/>
          <w:sz w:val="22"/>
          <w:szCs w:val="22"/>
        </w:rPr>
        <w:t>/202</w:t>
      </w:r>
      <w:r w:rsidR="00454BEF" w:rsidRPr="007E7FBC">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 xml:space="preserve">Aos </w:t>
      </w:r>
      <w:r w:rsidR="002B6715">
        <w:rPr>
          <w:rFonts w:ascii="Arial" w:eastAsia="Times New Roman" w:hAnsi="Arial" w:cs="Arial"/>
          <w:color w:val="000000" w:themeColor="text1"/>
          <w:sz w:val="22"/>
          <w:szCs w:val="22"/>
        </w:rPr>
        <w:t>seis</w:t>
      </w:r>
      <w:r w:rsidR="00460915" w:rsidRPr="00A55D4F">
        <w:rPr>
          <w:rFonts w:ascii="Arial" w:eastAsia="Times New Roman" w:hAnsi="Arial" w:cs="Arial"/>
          <w:color w:val="000000" w:themeColor="text1"/>
          <w:sz w:val="22"/>
          <w:szCs w:val="22"/>
        </w:rPr>
        <w:t xml:space="preserve"> </w:t>
      </w:r>
      <w:r w:rsidRPr="00A55D4F">
        <w:rPr>
          <w:rFonts w:ascii="Arial" w:eastAsia="Times New Roman" w:hAnsi="Arial" w:cs="Arial"/>
          <w:color w:val="000000" w:themeColor="text1"/>
          <w:sz w:val="22"/>
          <w:szCs w:val="22"/>
        </w:rPr>
        <w:t>dia</w:t>
      </w:r>
      <w:r w:rsidR="00946EF1" w:rsidRPr="00A55D4F">
        <w:rPr>
          <w:rFonts w:ascii="Arial" w:eastAsia="Times New Roman" w:hAnsi="Arial" w:cs="Arial"/>
          <w:color w:val="000000" w:themeColor="text1"/>
          <w:sz w:val="22"/>
          <w:szCs w:val="22"/>
        </w:rPr>
        <w:t xml:space="preserve">s do mês de </w:t>
      </w:r>
      <w:r w:rsidR="00460915" w:rsidRPr="00A55D4F">
        <w:rPr>
          <w:rFonts w:ascii="Arial" w:eastAsia="Times New Roman" w:hAnsi="Arial" w:cs="Arial"/>
          <w:color w:val="000000" w:themeColor="text1"/>
          <w:sz w:val="22"/>
          <w:szCs w:val="22"/>
        </w:rPr>
        <w:t>junho do ano de 2023</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B38C2" w:rsidRPr="00A55D4F" w:rsidRDefault="00DD60C7" w:rsidP="00460915">
      <w:pPr>
        <w:ind w:right="-196"/>
        <w:jc w:val="both"/>
        <w:rPr>
          <w:rFonts w:ascii="Arial" w:hAnsi="Arial" w:cs="Arial"/>
          <w:color w:val="000000" w:themeColor="text1"/>
          <w:sz w:val="22"/>
          <w:szCs w:val="22"/>
        </w:rPr>
      </w:pPr>
      <w:r w:rsidRPr="006E3F29">
        <w:rPr>
          <w:rFonts w:ascii="Arial" w:eastAsia="Times New Roman" w:hAnsi="Arial" w:cs="Arial"/>
          <w:sz w:val="22"/>
          <w:szCs w:val="22"/>
        </w:rPr>
        <w:t>3) Integra a presente ARP na qualidade de FORNECEDOR a empresa:</w:t>
      </w:r>
      <w:r w:rsidR="00075123">
        <w:rPr>
          <w:rFonts w:ascii="Arial" w:eastAsia="Times New Roman" w:hAnsi="Arial" w:cs="Arial"/>
          <w:sz w:val="22"/>
          <w:szCs w:val="22"/>
        </w:rPr>
        <w:t xml:space="preserve"> </w:t>
      </w:r>
      <w:r w:rsidR="00A55D4F" w:rsidRPr="00A55D4F">
        <w:rPr>
          <w:rFonts w:ascii="Arial" w:hAnsi="Arial" w:cs="Arial"/>
          <w:b/>
          <w:color w:val="000000" w:themeColor="text1"/>
          <w:sz w:val="22"/>
          <w:szCs w:val="22"/>
        </w:rPr>
        <w:t xml:space="preserve">GILSIMAR FRANCISCO DA SILVA 07602079680, </w:t>
      </w:r>
      <w:r w:rsidR="00A55D4F" w:rsidRPr="00A55D4F">
        <w:rPr>
          <w:rFonts w:ascii="Arial" w:hAnsi="Arial" w:cs="Arial"/>
          <w:color w:val="000000" w:themeColor="text1"/>
          <w:sz w:val="22"/>
          <w:szCs w:val="22"/>
        </w:rPr>
        <w:t>inscrita no CNPJ nº 40.327.275/0001-59, com sede na Avenida vinte e um de dezembro, n° 1180, Loja 1, Bairro Centro, CEP: 36152-000 Goiana MG</w:t>
      </w:r>
    </w:p>
    <w:p w:rsidR="00A55D4F" w:rsidRPr="006E3F29" w:rsidRDefault="00A55D4F" w:rsidP="00460915">
      <w:pPr>
        <w:ind w:right="-196"/>
        <w:jc w:val="both"/>
        <w:rPr>
          <w:rFonts w:ascii="Arial" w:eastAsia="Times New Roman" w:hAnsi="Arial" w:cs="Arial"/>
          <w:sz w:val="22"/>
          <w:szCs w:val="22"/>
        </w:rPr>
      </w:pPr>
    </w:p>
    <w:p w:rsidR="00DD60C7" w:rsidRPr="006E3F29" w:rsidRDefault="00DD60C7" w:rsidP="00DD60C7">
      <w:pPr>
        <w:pStyle w:val="Corpodetexto"/>
        <w:rPr>
          <w:rFonts w:eastAsia="Times New Roman"/>
        </w:rPr>
      </w:pPr>
      <w:r w:rsidRPr="006E3F29">
        <w:rPr>
          <w:rFonts w:eastAsia="Times New Roman"/>
        </w:rPr>
        <w:t xml:space="preserve">4) Nos termos do </w:t>
      </w:r>
      <w:r w:rsidRPr="006E3F29">
        <w:t xml:space="preserve">Art. 11 do Decreto Federal 7.892/2013, </w:t>
      </w:r>
      <w:r>
        <w:t xml:space="preserve">não </w:t>
      </w:r>
      <w:r w:rsidR="0042456D">
        <w:t>houve licitantes interessados em</w:t>
      </w:r>
      <w:r w:rsidRPr="006E3F29">
        <w:t xml:space="preserve"> cotar </w:t>
      </w:r>
      <w:r w:rsidRPr="006E3F29">
        <w:lastRenderedPageBreak/>
        <w:t>os bens ou serviços com preços iguais ao do licitante vencedor na sequência da classificação do certame</w:t>
      </w:r>
      <w:r>
        <w:t>.</w:t>
      </w:r>
    </w:p>
    <w:p w:rsidR="00DD60C7" w:rsidRDefault="00DD60C7" w:rsidP="00DD60C7">
      <w:pPr>
        <w:spacing w:line="360" w:lineRule="auto"/>
        <w:ind w:right="-196"/>
        <w:jc w:val="both"/>
        <w:rPr>
          <w:rFonts w:ascii="Arial" w:eastAsia="Times New Roman" w:hAnsi="Arial" w:cs="Arial"/>
          <w:sz w:val="22"/>
          <w:szCs w:val="22"/>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A55D4F" w:rsidRPr="00A55D4F" w:rsidRDefault="00460915" w:rsidP="00A55D4F">
      <w:pPr>
        <w:tabs>
          <w:tab w:val="left" w:pos="195"/>
        </w:tabs>
        <w:jc w:val="both"/>
        <w:rPr>
          <w:rFonts w:ascii="Arial" w:hAnsi="Arial" w:cs="Arial"/>
          <w:color w:val="000000" w:themeColor="text1"/>
          <w:sz w:val="22"/>
          <w:szCs w:val="22"/>
        </w:rPr>
      </w:pPr>
      <w:r w:rsidRPr="00A55D4F">
        <w:rPr>
          <w:rFonts w:ascii="Arial" w:hAnsi="Arial" w:cs="Arial"/>
          <w:color w:val="000000" w:themeColor="text1"/>
          <w:sz w:val="22"/>
          <w:szCs w:val="22"/>
        </w:rPr>
        <w:t xml:space="preserve">Vencedora </w:t>
      </w:r>
      <w:r w:rsidR="00A55D4F" w:rsidRPr="00A55D4F">
        <w:rPr>
          <w:rFonts w:ascii="Arial" w:hAnsi="Arial" w:cs="Arial"/>
          <w:color w:val="000000" w:themeColor="text1"/>
          <w:sz w:val="22"/>
          <w:szCs w:val="22"/>
        </w:rPr>
        <w:t>para o item 348</w:t>
      </w:r>
      <w:r w:rsidRPr="00A55D4F">
        <w:rPr>
          <w:rFonts w:ascii="Arial" w:hAnsi="Arial" w:cs="Arial"/>
          <w:color w:val="000000" w:themeColor="text1"/>
          <w:sz w:val="22"/>
          <w:szCs w:val="22"/>
        </w:rPr>
        <w:t xml:space="preserve">, com o valor global de </w:t>
      </w:r>
      <w:r w:rsidR="00A55D4F" w:rsidRPr="00A55D4F">
        <w:rPr>
          <w:rFonts w:ascii="Arial" w:hAnsi="Arial" w:cs="Arial"/>
          <w:color w:val="000000" w:themeColor="text1"/>
          <w:sz w:val="22"/>
          <w:szCs w:val="22"/>
        </w:rPr>
        <w:t>R$947,50 (novecentos e quarenta e sete reais e cinquenta centavos).</w:t>
      </w:r>
    </w:p>
    <w:p w:rsidR="00A55D4F" w:rsidRPr="00A55D4F" w:rsidRDefault="00A55D4F" w:rsidP="00A55D4F">
      <w:pPr>
        <w:tabs>
          <w:tab w:val="left" w:pos="195"/>
        </w:tabs>
        <w:jc w:val="both"/>
        <w:rPr>
          <w:rFonts w:ascii="Arial" w:hAnsi="Arial" w:cs="Arial"/>
          <w:color w:val="000000" w:themeColor="text1"/>
          <w:sz w:val="22"/>
          <w:szCs w:val="22"/>
        </w:rPr>
      </w:pPr>
    </w:p>
    <w:p w:rsidR="00DD60C7" w:rsidRPr="009B1751" w:rsidRDefault="00DD60C7" w:rsidP="00A55D4F">
      <w:pPr>
        <w:tabs>
          <w:tab w:val="left" w:pos="195"/>
        </w:tabs>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623A7C" w:rsidRDefault="00623A7C"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0BED">
        <w:rPr>
          <w:rFonts w:ascii="Arial" w:eastAsia="Times New Roman" w:hAnsi="Arial" w:cs="Arial"/>
          <w:sz w:val="22"/>
          <w:szCs w:val="22"/>
        </w:rPr>
        <w:t>0</w:t>
      </w:r>
      <w:r w:rsidR="004F5F3F">
        <w:rPr>
          <w:rFonts w:ascii="Arial" w:eastAsia="Times New Roman" w:hAnsi="Arial" w:cs="Arial"/>
          <w:sz w:val="22"/>
          <w:szCs w:val="22"/>
        </w:rPr>
        <w:t>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345B08" w:rsidRDefault="00345B08"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D934F9">
        <w:rPr>
          <w:rFonts w:ascii="Arial" w:eastAsia="Times New Roman" w:hAnsi="Arial" w:cs="Arial"/>
          <w:sz w:val="22"/>
          <w:szCs w:val="22"/>
        </w:rPr>
        <w:t>06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55D4F" w:rsidRDefault="00A55D4F" w:rsidP="00DD60C7">
      <w:pPr>
        <w:ind w:right="-196"/>
        <w:rPr>
          <w:rFonts w:ascii="Arial" w:hAnsi="Arial" w:cs="Arial"/>
          <w:b/>
          <w:color w:val="000000" w:themeColor="text1"/>
          <w:sz w:val="22"/>
          <w:szCs w:val="22"/>
        </w:rPr>
      </w:pPr>
      <w:r w:rsidRPr="00A55D4F">
        <w:rPr>
          <w:rFonts w:ascii="Arial" w:hAnsi="Arial" w:cs="Arial"/>
          <w:b/>
          <w:color w:val="000000" w:themeColor="text1"/>
          <w:sz w:val="22"/>
          <w:szCs w:val="22"/>
        </w:rPr>
        <w:t xml:space="preserve">GILSIMAR FRANCISCO DA SILVA 07602079680 </w:t>
      </w:r>
    </w:p>
    <w:p w:rsidR="00A55D4F" w:rsidRPr="00A55D4F" w:rsidRDefault="00A55D4F" w:rsidP="00DD60C7">
      <w:pPr>
        <w:ind w:right="-196"/>
        <w:rPr>
          <w:rFonts w:ascii="Arial" w:hAnsi="Arial" w:cs="Arial"/>
          <w:color w:val="000000" w:themeColor="text1"/>
          <w:sz w:val="22"/>
          <w:szCs w:val="22"/>
        </w:rPr>
      </w:pPr>
      <w:r w:rsidRPr="00A55D4F">
        <w:rPr>
          <w:rFonts w:ascii="Arial" w:hAnsi="Arial" w:cs="Arial"/>
          <w:color w:val="000000" w:themeColor="text1"/>
          <w:sz w:val="22"/>
          <w:szCs w:val="22"/>
        </w:rPr>
        <w:t>CNPJ nº 40.327.275/0001-5</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345B08">
      <w:pPr>
        <w:ind w:right="-196"/>
        <w:rPr>
          <w:rFonts w:ascii="Arial" w:hAnsi="Arial" w:cs="Arial"/>
          <w:b/>
          <w:sz w:val="22"/>
          <w:szCs w:val="22"/>
        </w:rPr>
      </w:pPr>
      <w:r>
        <w:rPr>
          <w:rFonts w:ascii="Arial" w:hAnsi="Arial" w:cs="Arial"/>
          <w:b/>
          <w:sz w:val="22"/>
          <w:szCs w:val="22"/>
        </w:rPr>
        <w:t>TESTEMUNHA /CPF</w:t>
      </w:r>
      <w:bookmarkStart w:id="4" w:name="_GoBack"/>
      <w:bookmarkEnd w:id="4"/>
    </w:p>
    <w:sectPr w:rsidR="00DD60C7"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45B08">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7E7FBC">
      <w:rPr>
        <w:noProof/>
      </w:rPr>
      <w:t xml:space="preserve">7:31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9264"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2869"/>
    <w:rsid w:val="00043FFE"/>
    <w:rsid w:val="00046E63"/>
    <w:rsid w:val="00055F5B"/>
    <w:rsid w:val="00060686"/>
    <w:rsid w:val="000611B5"/>
    <w:rsid w:val="000615D7"/>
    <w:rsid w:val="000640EF"/>
    <w:rsid w:val="0006678A"/>
    <w:rsid w:val="00067211"/>
    <w:rsid w:val="00073295"/>
    <w:rsid w:val="00075123"/>
    <w:rsid w:val="00075CDF"/>
    <w:rsid w:val="00076D15"/>
    <w:rsid w:val="00076E41"/>
    <w:rsid w:val="00086589"/>
    <w:rsid w:val="00092043"/>
    <w:rsid w:val="00092819"/>
    <w:rsid w:val="00094608"/>
    <w:rsid w:val="00094A80"/>
    <w:rsid w:val="0009502B"/>
    <w:rsid w:val="00097236"/>
    <w:rsid w:val="00097D25"/>
    <w:rsid w:val="000A01BA"/>
    <w:rsid w:val="000A330A"/>
    <w:rsid w:val="000A4CA9"/>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624"/>
    <w:rsid w:val="0017277F"/>
    <w:rsid w:val="00174063"/>
    <w:rsid w:val="00174AE6"/>
    <w:rsid w:val="00175298"/>
    <w:rsid w:val="001759D4"/>
    <w:rsid w:val="00177177"/>
    <w:rsid w:val="001814D5"/>
    <w:rsid w:val="0018323F"/>
    <w:rsid w:val="001846EC"/>
    <w:rsid w:val="001847D0"/>
    <w:rsid w:val="00184ACD"/>
    <w:rsid w:val="0018573A"/>
    <w:rsid w:val="00190440"/>
    <w:rsid w:val="00190562"/>
    <w:rsid w:val="00190C2D"/>
    <w:rsid w:val="0019230E"/>
    <w:rsid w:val="001959F9"/>
    <w:rsid w:val="00195AD1"/>
    <w:rsid w:val="001A069F"/>
    <w:rsid w:val="001A63CC"/>
    <w:rsid w:val="001A7567"/>
    <w:rsid w:val="001B0DE2"/>
    <w:rsid w:val="001B4C87"/>
    <w:rsid w:val="001C2344"/>
    <w:rsid w:val="001C2BC2"/>
    <w:rsid w:val="001C379D"/>
    <w:rsid w:val="001C4E99"/>
    <w:rsid w:val="001C4EEC"/>
    <w:rsid w:val="001C619E"/>
    <w:rsid w:val="001D0143"/>
    <w:rsid w:val="001D2F05"/>
    <w:rsid w:val="001D40D1"/>
    <w:rsid w:val="001D4FF4"/>
    <w:rsid w:val="001D588A"/>
    <w:rsid w:val="001D5A30"/>
    <w:rsid w:val="001D7BF1"/>
    <w:rsid w:val="001F1BE2"/>
    <w:rsid w:val="001F3F94"/>
    <w:rsid w:val="001F6003"/>
    <w:rsid w:val="00200235"/>
    <w:rsid w:val="00201D13"/>
    <w:rsid w:val="00203B3F"/>
    <w:rsid w:val="002046D6"/>
    <w:rsid w:val="00204B60"/>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3632"/>
    <w:rsid w:val="002B023A"/>
    <w:rsid w:val="002B0CDD"/>
    <w:rsid w:val="002B28BE"/>
    <w:rsid w:val="002B4CEE"/>
    <w:rsid w:val="002B5062"/>
    <w:rsid w:val="002B653F"/>
    <w:rsid w:val="002B6715"/>
    <w:rsid w:val="002B7540"/>
    <w:rsid w:val="002B7669"/>
    <w:rsid w:val="002B78F1"/>
    <w:rsid w:val="002C2BCE"/>
    <w:rsid w:val="002C43D7"/>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84E"/>
    <w:rsid w:val="00311D4F"/>
    <w:rsid w:val="003204EA"/>
    <w:rsid w:val="00323427"/>
    <w:rsid w:val="0032524A"/>
    <w:rsid w:val="00326625"/>
    <w:rsid w:val="00326F3A"/>
    <w:rsid w:val="00331794"/>
    <w:rsid w:val="00331BA3"/>
    <w:rsid w:val="003329AF"/>
    <w:rsid w:val="00332AFD"/>
    <w:rsid w:val="003342F4"/>
    <w:rsid w:val="00345B08"/>
    <w:rsid w:val="0034646B"/>
    <w:rsid w:val="00351FAF"/>
    <w:rsid w:val="00354A45"/>
    <w:rsid w:val="003555E4"/>
    <w:rsid w:val="003620D4"/>
    <w:rsid w:val="00365DD1"/>
    <w:rsid w:val="00367D25"/>
    <w:rsid w:val="003700FC"/>
    <w:rsid w:val="00370A46"/>
    <w:rsid w:val="00370D58"/>
    <w:rsid w:val="003755CA"/>
    <w:rsid w:val="003819BD"/>
    <w:rsid w:val="003838A7"/>
    <w:rsid w:val="003854A6"/>
    <w:rsid w:val="0039166D"/>
    <w:rsid w:val="003916F2"/>
    <w:rsid w:val="00394536"/>
    <w:rsid w:val="00394882"/>
    <w:rsid w:val="003961A1"/>
    <w:rsid w:val="00397530"/>
    <w:rsid w:val="00397A3F"/>
    <w:rsid w:val="00397B9A"/>
    <w:rsid w:val="003A5D0B"/>
    <w:rsid w:val="003A6C89"/>
    <w:rsid w:val="003A7F0B"/>
    <w:rsid w:val="003B0D05"/>
    <w:rsid w:val="003B1CCE"/>
    <w:rsid w:val="003B2D06"/>
    <w:rsid w:val="003B560A"/>
    <w:rsid w:val="003C0C92"/>
    <w:rsid w:val="003C1173"/>
    <w:rsid w:val="003C1175"/>
    <w:rsid w:val="003C2D82"/>
    <w:rsid w:val="003C63F1"/>
    <w:rsid w:val="003D041F"/>
    <w:rsid w:val="003D1A8E"/>
    <w:rsid w:val="003D2D7D"/>
    <w:rsid w:val="003D51A7"/>
    <w:rsid w:val="003D7DEA"/>
    <w:rsid w:val="003E1D66"/>
    <w:rsid w:val="003E704C"/>
    <w:rsid w:val="003F0D28"/>
    <w:rsid w:val="003F1D2C"/>
    <w:rsid w:val="003F41B7"/>
    <w:rsid w:val="003F7ACC"/>
    <w:rsid w:val="00401E01"/>
    <w:rsid w:val="00406510"/>
    <w:rsid w:val="00406AF7"/>
    <w:rsid w:val="00414F71"/>
    <w:rsid w:val="00416B8B"/>
    <w:rsid w:val="004179B3"/>
    <w:rsid w:val="0042170B"/>
    <w:rsid w:val="00422D20"/>
    <w:rsid w:val="00424174"/>
    <w:rsid w:val="0042456D"/>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5FF4"/>
    <w:rsid w:val="004D6EC9"/>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5F3F"/>
    <w:rsid w:val="004F682F"/>
    <w:rsid w:val="004F7017"/>
    <w:rsid w:val="00501E24"/>
    <w:rsid w:val="005030EB"/>
    <w:rsid w:val="0050394A"/>
    <w:rsid w:val="0050748D"/>
    <w:rsid w:val="0051343A"/>
    <w:rsid w:val="005158DA"/>
    <w:rsid w:val="005170B9"/>
    <w:rsid w:val="00521954"/>
    <w:rsid w:val="0052675F"/>
    <w:rsid w:val="00531D54"/>
    <w:rsid w:val="00543A84"/>
    <w:rsid w:val="00544CF1"/>
    <w:rsid w:val="00546490"/>
    <w:rsid w:val="00551DEC"/>
    <w:rsid w:val="00554F3B"/>
    <w:rsid w:val="00560AE6"/>
    <w:rsid w:val="00565AE1"/>
    <w:rsid w:val="00567452"/>
    <w:rsid w:val="00571FBC"/>
    <w:rsid w:val="005736C4"/>
    <w:rsid w:val="0057420F"/>
    <w:rsid w:val="00574E1E"/>
    <w:rsid w:val="005812E0"/>
    <w:rsid w:val="00584BD5"/>
    <w:rsid w:val="00586736"/>
    <w:rsid w:val="00586A0D"/>
    <w:rsid w:val="00586F33"/>
    <w:rsid w:val="00587510"/>
    <w:rsid w:val="00595017"/>
    <w:rsid w:val="005953C3"/>
    <w:rsid w:val="005A3A76"/>
    <w:rsid w:val="005A5D27"/>
    <w:rsid w:val="005A69FE"/>
    <w:rsid w:val="005B634E"/>
    <w:rsid w:val="005C06DB"/>
    <w:rsid w:val="005C16CD"/>
    <w:rsid w:val="005C2AA5"/>
    <w:rsid w:val="005D07CA"/>
    <w:rsid w:val="005D7841"/>
    <w:rsid w:val="005E01C3"/>
    <w:rsid w:val="005E20A5"/>
    <w:rsid w:val="005E2C9B"/>
    <w:rsid w:val="005E2E5B"/>
    <w:rsid w:val="005E651F"/>
    <w:rsid w:val="005E71CB"/>
    <w:rsid w:val="005F0F5F"/>
    <w:rsid w:val="005F5639"/>
    <w:rsid w:val="006022B6"/>
    <w:rsid w:val="0060264E"/>
    <w:rsid w:val="006048EA"/>
    <w:rsid w:val="00604E1B"/>
    <w:rsid w:val="00610DBB"/>
    <w:rsid w:val="006213B2"/>
    <w:rsid w:val="00622BA3"/>
    <w:rsid w:val="00623A7C"/>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91109"/>
    <w:rsid w:val="00693D07"/>
    <w:rsid w:val="00693E90"/>
    <w:rsid w:val="006A000E"/>
    <w:rsid w:val="006A0067"/>
    <w:rsid w:val="006A0E10"/>
    <w:rsid w:val="006A624A"/>
    <w:rsid w:val="006B0BED"/>
    <w:rsid w:val="006B19D6"/>
    <w:rsid w:val="006B5A8B"/>
    <w:rsid w:val="006C0191"/>
    <w:rsid w:val="006C46C9"/>
    <w:rsid w:val="006C5B80"/>
    <w:rsid w:val="006C64EE"/>
    <w:rsid w:val="006C7E13"/>
    <w:rsid w:val="006D17EA"/>
    <w:rsid w:val="006D3F5F"/>
    <w:rsid w:val="006D5722"/>
    <w:rsid w:val="006E078C"/>
    <w:rsid w:val="006E0BAF"/>
    <w:rsid w:val="006E26A0"/>
    <w:rsid w:val="006F34F9"/>
    <w:rsid w:val="006F4359"/>
    <w:rsid w:val="00700C0E"/>
    <w:rsid w:val="0070358F"/>
    <w:rsid w:val="00703892"/>
    <w:rsid w:val="00703FDF"/>
    <w:rsid w:val="00705323"/>
    <w:rsid w:val="00711A9A"/>
    <w:rsid w:val="00714E06"/>
    <w:rsid w:val="007151EF"/>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C08C7"/>
    <w:rsid w:val="007C2830"/>
    <w:rsid w:val="007C3D21"/>
    <w:rsid w:val="007C57B9"/>
    <w:rsid w:val="007D0084"/>
    <w:rsid w:val="007D023C"/>
    <w:rsid w:val="007D0DBA"/>
    <w:rsid w:val="007E08C3"/>
    <w:rsid w:val="007E181F"/>
    <w:rsid w:val="007E2A4C"/>
    <w:rsid w:val="007E5F86"/>
    <w:rsid w:val="007E7FBC"/>
    <w:rsid w:val="007F1011"/>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0A98"/>
    <w:rsid w:val="00851C62"/>
    <w:rsid w:val="0085483F"/>
    <w:rsid w:val="00870098"/>
    <w:rsid w:val="008700BB"/>
    <w:rsid w:val="008724D5"/>
    <w:rsid w:val="00872AB6"/>
    <w:rsid w:val="0087332B"/>
    <w:rsid w:val="008733CF"/>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4AFF"/>
    <w:rsid w:val="00910CED"/>
    <w:rsid w:val="00912034"/>
    <w:rsid w:val="00914CDE"/>
    <w:rsid w:val="00925B6C"/>
    <w:rsid w:val="00926732"/>
    <w:rsid w:val="009321D4"/>
    <w:rsid w:val="009330FD"/>
    <w:rsid w:val="00937E0A"/>
    <w:rsid w:val="00946673"/>
    <w:rsid w:val="00946EF1"/>
    <w:rsid w:val="00947CE1"/>
    <w:rsid w:val="00951E10"/>
    <w:rsid w:val="00952D83"/>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4A70"/>
    <w:rsid w:val="00A35C71"/>
    <w:rsid w:val="00A3602C"/>
    <w:rsid w:val="00A36CFF"/>
    <w:rsid w:val="00A43C75"/>
    <w:rsid w:val="00A44E33"/>
    <w:rsid w:val="00A462E2"/>
    <w:rsid w:val="00A5398B"/>
    <w:rsid w:val="00A53AB4"/>
    <w:rsid w:val="00A53B4B"/>
    <w:rsid w:val="00A55B28"/>
    <w:rsid w:val="00A55D4F"/>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5647"/>
    <w:rsid w:val="00B379E2"/>
    <w:rsid w:val="00B42D3C"/>
    <w:rsid w:val="00B4567B"/>
    <w:rsid w:val="00B4684E"/>
    <w:rsid w:val="00B51084"/>
    <w:rsid w:val="00B5269A"/>
    <w:rsid w:val="00B55611"/>
    <w:rsid w:val="00B55C54"/>
    <w:rsid w:val="00B56CCE"/>
    <w:rsid w:val="00B61630"/>
    <w:rsid w:val="00B72DC6"/>
    <w:rsid w:val="00B73614"/>
    <w:rsid w:val="00B7621A"/>
    <w:rsid w:val="00B814B8"/>
    <w:rsid w:val="00B839F9"/>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346C"/>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431F"/>
    <w:rsid w:val="00D05E97"/>
    <w:rsid w:val="00D13E15"/>
    <w:rsid w:val="00D1414C"/>
    <w:rsid w:val="00D1551D"/>
    <w:rsid w:val="00D15C3E"/>
    <w:rsid w:val="00D174EE"/>
    <w:rsid w:val="00D227E8"/>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77CC"/>
    <w:rsid w:val="00D82111"/>
    <w:rsid w:val="00D85614"/>
    <w:rsid w:val="00D9020A"/>
    <w:rsid w:val="00D9036D"/>
    <w:rsid w:val="00D91CEB"/>
    <w:rsid w:val="00D934F9"/>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6F03"/>
    <w:rsid w:val="00E818F7"/>
    <w:rsid w:val="00E8241F"/>
    <w:rsid w:val="00E82838"/>
    <w:rsid w:val="00E8461A"/>
    <w:rsid w:val="00E86DCF"/>
    <w:rsid w:val="00E94591"/>
    <w:rsid w:val="00E94905"/>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65B9"/>
    <w:rsid w:val="00F56997"/>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8FC476"/>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E7A2A-168F-4F80-9B74-59E2F1046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4959</TotalTime>
  <Pages>6</Pages>
  <Words>2092</Words>
  <Characters>11301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1362</cp:revision>
  <cp:lastPrinted>2023-06-15T11:49:00Z</cp:lastPrinted>
  <dcterms:created xsi:type="dcterms:W3CDTF">2019-09-10T13:27:00Z</dcterms:created>
  <dcterms:modified xsi:type="dcterms:W3CDTF">2023-06-15T22:32:00Z</dcterms:modified>
</cp:coreProperties>
</file>