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F6" w:rsidRPr="003F69D9" w:rsidRDefault="00D43FF6" w:rsidP="00D43FF6">
      <w:pPr>
        <w:ind w:right="-196"/>
        <w:jc w:val="center"/>
        <w:rPr>
          <w:rFonts w:ascii="Arial" w:eastAsia="Times New Roman" w:hAnsi="Arial" w:cs="Arial"/>
          <w:sz w:val="24"/>
          <w:szCs w:val="24"/>
        </w:rPr>
      </w:pPr>
      <w:r w:rsidRPr="003F69D9">
        <w:rPr>
          <w:rFonts w:ascii="Arial" w:eastAsia="Times New Roman" w:hAnsi="Arial" w:cs="Arial"/>
          <w:b/>
          <w:sz w:val="24"/>
          <w:szCs w:val="24"/>
        </w:rPr>
        <w:t>ATA DE</w:t>
      </w:r>
      <w:r w:rsidR="00CE1CDE">
        <w:rPr>
          <w:rFonts w:ascii="Arial" w:eastAsia="Times New Roman" w:hAnsi="Arial" w:cs="Arial"/>
          <w:b/>
          <w:sz w:val="24"/>
          <w:szCs w:val="24"/>
        </w:rPr>
        <w:t xml:space="preserve"> REGISTRO DE PREÇOS Nº 006</w:t>
      </w:r>
      <w:r w:rsidRPr="003F69D9">
        <w:rPr>
          <w:rFonts w:ascii="Arial" w:eastAsia="Times New Roman" w:hAnsi="Arial" w:cs="Arial"/>
          <w:b/>
          <w:sz w:val="24"/>
          <w:szCs w:val="24"/>
        </w:rPr>
        <w:t>/202</w:t>
      </w:r>
      <w:r>
        <w:rPr>
          <w:rFonts w:ascii="Arial" w:eastAsia="Times New Roman" w:hAnsi="Arial" w:cs="Arial"/>
          <w:b/>
          <w:sz w:val="24"/>
          <w:szCs w:val="24"/>
        </w:rPr>
        <w:t>3</w:t>
      </w: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jc w:val="both"/>
        <w:rPr>
          <w:rFonts w:ascii="Arial" w:eastAsia="Times New Roman" w:hAnsi="Arial" w:cs="Arial"/>
          <w:b/>
          <w:sz w:val="24"/>
          <w:szCs w:val="24"/>
        </w:rPr>
      </w:pPr>
      <w:r>
        <w:rPr>
          <w:rFonts w:ascii="Arial" w:eastAsia="Times New Roman" w:hAnsi="Arial" w:cs="Arial"/>
          <w:sz w:val="24"/>
          <w:szCs w:val="24"/>
        </w:rPr>
        <w:t>Aos trinta e um dias do mês de Janeiro</w:t>
      </w:r>
      <w:r w:rsidRPr="003F69D9">
        <w:rPr>
          <w:rFonts w:ascii="Arial" w:eastAsia="Times New Roman" w:hAnsi="Arial" w:cs="Arial"/>
          <w:sz w:val="24"/>
          <w:szCs w:val="24"/>
        </w:rPr>
        <w:t xml:space="preserve"> do ano de 202</w:t>
      </w:r>
      <w:r>
        <w:rPr>
          <w:rFonts w:ascii="Arial" w:eastAsia="Times New Roman" w:hAnsi="Arial" w:cs="Arial"/>
          <w:sz w:val="24"/>
          <w:szCs w:val="24"/>
        </w:rPr>
        <w:t>3</w:t>
      </w:r>
      <w:r w:rsidRPr="003F69D9">
        <w:rPr>
          <w:rFonts w:ascii="Arial" w:eastAsia="Times New Roman" w:hAnsi="Arial" w:cs="Arial"/>
          <w:sz w:val="24"/>
          <w:szCs w:val="24"/>
        </w:rPr>
        <w:t xml:space="preserve">,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Pr="003F69D9">
        <w:rPr>
          <w:rFonts w:ascii="Arial" w:hAnsi="Arial" w:cs="Arial"/>
          <w:b/>
          <w:sz w:val="24"/>
          <w:szCs w:val="24"/>
          <w:lang w:val="pt-PT"/>
        </w:rPr>
        <w:t>Processo Licitátorio nº 0</w:t>
      </w:r>
      <w:r>
        <w:rPr>
          <w:rFonts w:ascii="Arial" w:hAnsi="Arial" w:cs="Arial"/>
          <w:b/>
          <w:sz w:val="24"/>
          <w:szCs w:val="24"/>
          <w:lang w:val="pt-PT"/>
        </w:rPr>
        <w:t>04</w:t>
      </w:r>
      <w:r w:rsidRPr="003F69D9">
        <w:rPr>
          <w:rFonts w:ascii="Arial" w:hAnsi="Arial" w:cs="Arial"/>
          <w:b/>
          <w:sz w:val="24"/>
          <w:szCs w:val="24"/>
          <w:lang w:val="pt-PT"/>
        </w:rPr>
        <w:t>/202</w:t>
      </w:r>
      <w:r>
        <w:rPr>
          <w:rFonts w:ascii="Arial" w:hAnsi="Arial" w:cs="Arial"/>
          <w:b/>
          <w:sz w:val="24"/>
          <w:szCs w:val="24"/>
          <w:lang w:val="pt-PT"/>
        </w:rPr>
        <w:t>3</w:t>
      </w:r>
      <w:r w:rsidRPr="003F69D9">
        <w:rPr>
          <w:rFonts w:ascii="Arial" w:hAnsi="Arial" w:cs="Arial"/>
          <w:b/>
          <w:sz w:val="24"/>
          <w:szCs w:val="24"/>
          <w:lang w:val="pt-PT"/>
        </w:rPr>
        <w:t>, Pregão Presencial nº 004/202</w:t>
      </w:r>
      <w:r>
        <w:rPr>
          <w:rFonts w:ascii="Arial" w:hAnsi="Arial" w:cs="Arial"/>
          <w:b/>
          <w:sz w:val="24"/>
          <w:szCs w:val="24"/>
          <w:lang w:val="pt-PT"/>
        </w:rPr>
        <w:t>3</w:t>
      </w:r>
      <w:r w:rsidRPr="003F69D9">
        <w:rPr>
          <w:rFonts w:ascii="Arial" w:hAnsi="Arial" w:cs="Arial"/>
          <w:b/>
          <w:sz w:val="24"/>
          <w:szCs w:val="24"/>
          <w:lang w:val="pt-PT"/>
        </w:rPr>
        <w:t>, Registro de Preços nº 004/202</w:t>
      </w:r>
      <w:r>
        <w:rPr>
          <w:rFonts w:ascii="Arial" w:hAnsi="Arial" w:cs="Arial"/>
          <w:b/>
          <w:sz w:val="24"/>
          <w:szCs w:val="24"/>
          <w:lang w:val="pt-PT"/>
        </w:rPr>
        <w:t>3</w:t>
      </w:r>
      <w:r w:rsidRPr="003F69D9">
        <w:rPr>
          <w:rFonts w:ascii="Arial" w:eastAsia="Times New Roman" w:hAnsi="Arial" w:cs="Arial"/>
          <w:sz w:val="24"/>
          <w:szCs w:val="24"/>
        </w:rPr>
        <w:t xml:space="preserve">, cujo objetivo fora a formalização de registro de preços para a aquisição eventual e futura de </w:t>
      </w:r>
      <w:r w:rsidRPr="005349AE">
        <w:rPr>
          <w:rFonts w:ascii="Arial" w:eastAsia="Times New Roman" w:hAnsi="Arial" w:cs="Arial"/>
          <w:sz w:val="24"/>
          <w:szCs w:val="24"/>
        </w:rPr>
        <w:t xml:space="preserve">MATERIAIS PARA DISTRIBUIÇÃO GRATUITA </w:t>
      </w:r>
      <w:r>
        <w:rPr>
          <w:rFonts w:ascii="Arial" w:eastAsia="Times New Roman" w:hAnsi="Arial" w:cs="Arial"/>
          <w:sz w:val="24"/>
          <w:szCs w:val="24"/>
        </w:rPr>
        <w:t>em</w:t>
      </w:r>
      <w:r w:rsidRPr="003F69D9">
        <w:rPr>
          <w:rFonts w:ascii="Arial" w:eastAsia="Times New Roman" w:hAnsi="Arial" w:cs="Arial"/>
          <w:sz w:val="24"/>
          <w:szCs w:val="24"/>
        </w:rPr>
        <w:t xml:space="preserve"> at</w:t>
      </w:r>
      <w:r>
        <w:rPr>
          <w:rFonts w:ascii="Arial" w:eastAsia="Times New Roman" w:hAnsi="Arial" w:cs="Arial"/>
          <w:sz w:val="24"/>
          <w:szCs w:val="24"/>
        </w:rPr>
        <w:t>endimento à Assistência Social e</w:t>
      </w:r>
      <w:r w:rsidRPr="003F69D9">
        <w:rPr>
          <w:rFonts w:ascii="Arial" w:eastAsia="Times New Roman" w:hAnsi="Arial" w:cs="Arial"/>
          <w:sz w:val="24"/>
          <w:szCs w:val="24"/>
        </w:rPr>
        <w:t xml:space="preserve"> Secretaria de Saúde da Administração</w:t>
      </w:r>
      <w:r>
        <w:rPr>
          <w:rFonts w:ascii="Arial" w:eastAsia="Times New Roman" w:hAnsi="Arial" w:cs="Arial"/>
          <w:sz w:val="24"/>
          <w:szCs w:val="24"/>
        </w:rPr>
        <w:t xml:space="preserve"> e Lar São Vicente de Paulo</w:t>
      </w:r>
      <w:r w:rsidRPr="003F69D9">
        <w:rPr>
          <w:rFonts w:ascii="Arial" w:eastAsia="Times New Roman" w:hAnsi="Arial" w:cs="Arial"/>
          <w:sz w:val="24"/>
          <w:szCs w:val="24"/>
        </w:rPr>
        <w:t xml:space="preserve">, processada nos termos do </w:t>
      </w:r>
      <w:r w:rsidRPr="003F69D9">
        <w:rPr>
          <w:rFonts w:ascii="Arial" w:hAnsi="Arial" w:cs="Arial"/>
          <w:b/>
          <w:sz w:val="24"/>
          <w:szCs w:val="24"/>
          <w:lang w:val="pt-PT"/>
        </w:rPr>
        <w:t>Processo Licitátorio nº 0</w:t>
      </w:r>
      <w:r>
        <w:rPr>
          <w:rFonts w:ascii="Arial" w:hAnsi="Arial" w:cs="Arial"/>
          <w:b/>
          <w:sz w:val="24"/>
          <w:szCs w:val="24"/>
          <w:lang w:val="pt-PT"/>
        </w:rPr>
        <w:t>04</w:t>
      </w:r>
      <w:r w:rsidRPr="003F69D9">
        <w:rPr>
          <w:rFonts w:ascii="Arial" w:hAnsi="Arial" w:cs="Arial"/>
          <w:b/>
          <w:sz w:val="24"/>
          <w:szCs w:val="24"/>
          <w:lang w:val="pt-PT"/>
        </w:rPr>
        <w:t>/202</w:t>
      </w:r>
      <w:r>
        <w:rPr>
          <w:rFonts w:ascii="Arial" w:hAnsi="Arial" w:cs="Arial"/>
          <w:b/>
          <w:sz w:val="24"/>
          <w:szCs w:val="24"/>
          <w:lang w:val="pt-PT"/>
        </w:rPr>
        <w:t>3</w:t>
      </w:r>
      <w:r w:rsidRPr="003F69D9">
        <w:rPr>
          <w:rFonts w:ascii="Arial" w:hAnsi="Arial" w:cs="Arial"/>
          <w:b/>
          <w:sz w:val="24"/>
          <w:szCs w:val="24"/>
          <w:lang w:val="pt-PT"/>
        </w:rPr>
        <w:t>, Pregão Presencial nº 004/202</w:t>
      </w:r>
      <w:r>
        <w:rPr>
          <w:rFonts w:ascii="Arial" w:hAnsi="Arial" w:cs="Arial"/>
          <w:b/>
          <w:sz w:val="24"/>
          <w:szCs w:val="24"/>
          <w:lang w:val="pt-PT"/>
        </w:rPr>
        <w:t>3</w:t>
      </w:r>
      <w:r w:rsidRPr="003F69D9">
        <w:rPr>
          <w:rFonts w:ascii="Arial" w:hAnsi="Arial" w:cs="Arial"/>
          <w:b/>
          <w:sz w:val="24"/>
          <w:szCs w:val="24"/>
          <w:lang w:val="pt-PT"/>
        </w:rPr>
        <w:t>, Registro de Preços nº 004/202</w:t>
      </w:r>
      <w:r>
        <w:rPr>
          <w:rFonts w:ascii="Arial" w:hAnsi="Arial" w:cs="Arial"/>
          <w:b/>
          <w:sz w:val="24"/>
          <w:szCs w:val="24"/>
          <w:lang w:val="pt-PT"/>
        </w:rPr>
        <w:t>3</w:t>
      </w:r>
      <w:r w:rsidRPr="003F69D9">
        <w:rPr>
          <w:rFonts w:ascii="Arial" w:eastAsia="Times New Roman" w:hAnsi="Arial" w:cs="Arial"/>
          <w:sz w:val="24"/>
          <w:szCs w:val="24"/>
        </w:rPr>
        <w:t>, a qual se constitui em documento vinculativo e obrigacional às partes, conforme o disposto no art. 15 da Lei nº 8.666/93, regulamentado pelo Decreto Federal 7.892/2013, segundo as cláusulas e condições seguintes:</w:t>
      </w:r>
    </w:p>
    <w:p w:rsidR="00D43FF6" w:rsidRPr="003F69D9" w:rsidRDefault="00D43FF6" w:rsidP="00D43FF6">
      <w:pPr>
        <w:ind w:right="-196"/>
        <w:jc w:val="both"/>
        <w:rPr>
          <w:rFonts w:ascii="Arial" w:eastAsia="Times New Roman" w:hAnsi="Arial" w:cs="Arial"/>
          <w:b/>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presente Ata de Registro de Preços estabelece as cláusulas e condições gerais para o registro de preços objetivando a </w:t>
      </w:r>
      <w:r w:rsidRPr="00740375">
        <w:rPr>
          <w:rFonts w:ascii="Arial" w:hAnsi="Arial" w:cs="Arial"/>
          <w:b/>
          <w:i/>
          <w:sz w:val="24"/>
          <w:szCs w:val="24"/>
          <w:lang w:val="pt-PT"/>
        </w:rPr>
        <w:t>AQUISIÇÃO DE MATERIAIS PARA DISTRIBUIÇÃO GRATUITA EM ATENDIMENTO A ASSISTENCIA SOCIAL, A SECRETARIA MUNICIPAL DE SAUDE E AO LAR SÃO VICENTE DE PAULO</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SEGUNDA – DOS ÓRGÃOS INTEGRANTES E FORNECEDORES:</w:t>
      </w:r>
    </w:p>
    <w:p w:rsidR="00D43FF6"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1) Integra</w:t>
      </w:r>
      <w:proofErr w:type="gramEnd"/>
      <w:r w:rsidRPr="003F69D9">
        <w:rPr>
          <w:rFonts w:ascii="Arial" w:eastAsia="Times New Roman" w:hAnsi="Arial" w:cs="Arial"/>
          <w:sz w:val="24"/>
          <w:szCs w:val="24"/>
        </w:rPr>
        <w:t xml:space="preserve"> a presente ARP na qualidade de ÓRGÃO GERENCIADOR, o Município de Desterro do Melo, com sua sede na Prefeitura localizada na Av. Silvério Augusto de Melo, nº 158, Bairro Fábrica, CEP: 36.210-000.</w:t>
      </w:r>
    </w:p>
    <w:p w:rsidR="00EC4636" w:rsidRPr="003F69D9" w:rsidRDefault="00EC4636" w:rsidP="00D43FF6">
      <w:pPr>
        <w:ind w:right="-196"/>
        <w:jc w:val="both"/>
        <w:rPr>
          <w:rFonts w:ascii="Arial" w:eastAsia="Times New Roman" w:hAnsi="Arial" w:cs="Arial"/>
          <w:sz w:val="24"/>
          <w:szCs w:val="24"/>
        </w:rPr>
      </w:pPr>
    </w:p>
    <w:p w:rsidR="00D43FF6"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2) Qualquer</w:t>
      </w:r>
      <w:proofErr w:type="gramEnd"/>
      <w:r w:rsidRPr="003F69D9">
        <w:rPr>
          <w:rFonts w:ascii="Arial" w:eastAsia="Times New Roman" w:hAnsi="Arial" w:cs="Arial"/>
          <w:sz w:val="24"/>
          <w:szCs w:val="24"/>
        </w:rPr>
        <w:t xml:space="preserve"> órgão ou entidade da Administração Pública poderá solicitar a utilização da presente ARP, independentemente da participação ou não na licitação, desde que aceitas e formalizadas as exigências da Lei.</w:t>
      </w:r>
    </w:p>
    <w:p w:rsidR="00EC4636" w:rsidRPr="003F69D9" w:rsidRDefault="00EC463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3) Integra</w:t>
      </w:r>
      <w:proofErr w:type="gramEnd"/>
      <w:r w:rsidRPr="003F69D9">
        <w:rPr>
          <w:rFonts w:ascii="Arial" w:eastAsia="Times New Roman" w:hAnsi="Arial" w:cs="Arial"/>
          <w:sz w:val="24"/>
          <w:szCs w:val="24"/>
        </w:rPr>
        <w:t xml:space="preserve"> a presente ARP na qualidade de FORNECEDOR a empresa:</w:t>
      </w:r>
    </w:p>
    <w:p w:rsidR="0016525E" w:rsidRDefault="0016525E" w:rsidP="00D43FF6">
      <w:pPr>
        <w:pStyle w:val="Corpodetexto"/>
        <w:rPr>
          <w:sz w:val="24"/>
          <w:szCs w:val="24"/>
        </w:rPr>
      </w:pPr>
      <w:r>
        <w:rPr>
          <w:b/>
          <w:sz w:val="24"/>
          <w:szCs w:val="24"/>
        </w:rPr>
        <w:t>DISTRIBUIDORA NOSSA SENHORA DO DESTERRO LTDA</w:t>
      </w:r>
      <w:r w:rsidRPr="009A338A">
        <w:rPr>
          <w:b/>
          <w:sz w:val="24"/>
          <w:szCs w:val="24"/>
        </w:rPr>
        <w:t xml:space="preserve">, </w:t>
      </w:r>
      <w:r w:rsidRPr="009A338A">
        <w:rPr>
          <w:sz w:val="24"/>
          <w:szCs w:val="24"/>
        </w:rPr>
        <w:t xml:space="preserve">inscrita no CNPJ nº </w:t>
      </w:r>
      <w:r>
        <w:rPr>
          <w:sz w:val="24"/>
          <w:szCs w:val="24"/>
        </w:rPr>
        <w:t>44.053.953/0001-93</w:t>
      </w:r>
      <w:r w:rsidRPr="009A338A">
        <w:rPr>
          <w:sz w:val="24"/>
          <w:szCs w:val="24"/>
        </w:rPr>
        <w:t xml:space="preserve">, com sede na </w:t>
      </w:r>
      <w:r>
        <w:rPr>
          <w:sz w:val="24"/>
          <w:szCs w:val="24"/>
        </w:rPr>
        <w:t>Avenida Silvério Augusto de Melo</w:t>
      </w:r>
      <w:r w:rsidRPr="009A338A">
        <w:rPr>
          <w:sz w:val="24"/>
          <w:szCs w:val="24"/>
        </w:rPr>
        <w:t>, nº 1</w:t>
      </w:r>
      <w:r>
        <w:rPr>
          <w:sz w:val="24"/>
          <w:szCs w:val="24"/>
        </w:rPr>
        <w:t>46</w:t>
      </w:r>
      <w:r w:rsidRPr="009A338A">
        <w:rPr>
          <w:sz w:val="24"/>
          <w:szCs w:val="24"/>
        </w:rPr>
        <w:t xml:space="preserve">, Centro, </w:t>
      </w:r>
      <w:r>
        <w:rPr>
          <w:sz w:val="24"/>
          <w:szCs w:val="24"/>
        </w:rPr>
        <w:t>Desterro do Melo</w:t>
      </w:r>
      <w:r w:rsidRPr="009A338A">
        <w:rPr>
          <w:sz w:val="24"/>
          <w:szCs w:val="24"/>
        </w:rPr>
        <w:t xml:space="preserve"> - Minas Gerais, CEP: </w:t>
      </w:r>
      <w:r>
        <w:rPr>
          <w:sz w:val="24"/>
          <w:szCs w:val="24"/>
        </w:rPr>
        <w:t>36.210-000</w:t>
      </w:r>
      <w:r>
        <w:rPr>
          <w:sz w:val="24"/>
          <w:szCs w:val="24"/>
        </w:rPr>
        <w:t>.</w:t>
      </w:r>
    </w:p>
    <w:p w:rsidR="00D43FF6" w:rsidRPr="003F69D9" w:rsidRDefault="00D43FF6" w:rsidP="00D43FF6">
      <w:pPr>
        <w:pStyle w:val="Corpodetexto"/>
        <w:rPr>
          <w:rFonts w:eastAsia="Times New Roman"/>
          <w:sz w:val="24"/>
          <w:szCs w:val="24"/>
        </w:rPr>
      </w:pPr>
      <w:r w:rsidRPr="003F69D9">
        <w:rPr>
          <w:rFonts w:eastAsia="Times New Roman"/>
          <w:sz w:val="24"/>
          <w:szCs w:val="24"/>
        </w:rPr>
        <w:t xml:space="preserve">4) Nos termos do </w:t>
      </w:r>
      <w:r w:rsidRPr="003F69D9">
        <w:rPr>
          <w:sz w:val="24"/>
          <w:szCs w:val="24"/>
        </w:rPr>
        <w:t xml:space="preserve">Art. 11 do Decreto Federal 7.892/2013, não será incluído nesta </w:t>
      </w:r>
      <w:r w:rsidRPr="003F69D9">
        <w:rPr>
          <w:sz w:val="24"/>
          <w:szCs w:val="24"/>
        </w:rPr>
        <w:lastRenderedPageBreak/>
        <w:t>ata, o registro dos licitantes que aceitarem cotar os bens ou serviços com preços iguais ao do licitante vencedor na sequência da classificação do certame.</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TERCEIRA – DOS VALORES REGISTRADOS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Os preços registrados terão validade de 12 meses e estão relacionados no Mapa de Apuração dos Vencedores anexados a esta Ata e em resumo abaixo:</w:t>
      </w:r>
    </w:p>
    <w:p w:rsidR="00EC4636" w:rsidRDefault="0016525E" w:rsidP="00D43FF6">
      <w:pPr>
        <w:tabs>
          <w:tab w:val="left" w:pos="709"/>
          <w:tab w:val="left" w:pos="2552"/>
          <w:tab w:val="left" w:pos="2835"/>
        </w:tabs>
        <w:spacing w:before="100" w:beforeAutospacing="1" w:after="100" w:afterAutospacing="1"/>
        <w:ind w:right="-1"/>
        <w:jc w:val="both"/>
        <w:rPr>
          <w:rFonts w:ascii="Arial" w:hAnsi="Arial" w:cs="Arial"/>
          <w:sz w:val="24"/>
          <w:szCs w:val="24"/>
        </w:rPr>
      </w:pPr>
      <w:r w:rsidRPr="00C70A1B">
        <w:rPr>
          <w:rFonts w:ascii="Arial" w:hAnsi="Arial" w:cs="Arial"/>
          <w:sz w:val="24"/>
          <w:szCs w:val="24"/>
        </w:rPr>
        <w:t>Vencedora</w:t>
      </w:r>
      <w:r w:rsidRPr="00C70A1B">
        <w:rPr>
          <w:rFonts w:ascii="Arial" w:hAnsi="Arial" w:cs="Arial"/>
          <w:sz w:val="24"/>
          <w:szCs w:val="24"/>
        </w:rPr>
        <w:t xml:space="preserve"> para os </w:t>
      </w:r>
      <w:r>
        <w:rPr>
          <w:rFonts w:ascii="Arial" w:hAnsi="Arial" w:cs="Arial"/>
          <w:sz w:val="24"/>
          <w:szCs w:val="24"/>
        </w:rPr>
        <w:t>itens</w:t>
      </w:r>
      <w:r w:rsidRPr="00C70A1B">
        <w:rPr>
          <w:rFonts w:ascii="Arial" w:hAnsi="Arial" w:cs="Arial"/>
          <w:sz w:val="24"/>
          <w:szCs w:val="24"/>
        </w:rPr>
        <w:t xml:space="preserve"> </w:t>
      </w:r>
      <w:r>
        <w:rPr>
          <w:rFonts w:ascii="Arial" w:hAnsi="Arial" w:cs="Arial"/>
          <w:sz w:val="24"/>
          <w:szCs w:val="24"/>
        </w:rPr>
        <w:t>04, 06, 07, 08, 09, 10, 15, 22, 24, 27, 28, 30 e 31</w:t>
      </w:r>
      <w:r w:rsidRPr="00C70A1B">
        <w:rPr>
          <w:rFonts w:ascii="Arial" w:hAnsi="Arial" w:cs="Arial"/>
          <w:sz w:val="24"/>
          <w:szCs w:val="24"/>
        </w:rPr>
        <w:t xml:space="preserve"> </w:t>
      </w:r>
      <w:r>
        <w:rPr>
          <w:rFonts w:ascii="Arial" w:hAnsi="Arial" w:cs="Arial"/>
          <w:b/>
          <w:sz w:val="24"/>
          <w:szCs w:val="24"/>
        </w:rPr>
        <w:t>DISTRIBUIDORA NOSSA SENHORA DO DESTERRO LTDA</w:t>
      </w:r>
      <w:r w:rsidRPr="009A338A">
        <w:rPr>
          <w:rFonts w:ascii="Arial" w:hAnsi="Arial" w:cs="Arial"/>
          <w:b/>
          <w:sz w:val="24"/>
          <w:szCs w:val="24"/>
        </w:rPr>
        <w:t xml:space="preserve">, </w:t>
      </w:r>
      <w:r w:rsidRPr="009A338A">
        <w:rPr>
          <w:rFonts w:ascii="Arial" w:hAnsi="Arial" w:cs="Arial"/>
          <w:sz w:val="24"/>
          <w:szCs w:val="24"/>
        </w:rPr>
        <w:t xml:space="preserve">inscrita no CNPJ nº </w:t>
      </w:r>
      <w:r>
        <w:rPr>
          <w:rFonts w:ascii="Arial" w:hAnsi="Arial" w:cs="Arial"/>
          <w:sz w:val="24"/>
          <w:szCs w:val="24"/>
        </w:rPr>
        <w:t>44.053.953/0001-93</w:t>
      </w:r>
      <w:r w:rsidRPr="00C70A1B">
        <w:rPr>
          <w:rFonts w:ascii="Arial" w:hAnsi="Arial" w:cs="Arial"/>
          <w:sz w:val="24"/>
          <w:szCs w:val="24"/>
        </w:rPr>
        <w:t xml:space="preserve">, com valor total de R$ </w:t>
      </w:r>
      <w:r>
        <w:rPr>
          <w:rFonts w:ascii="Arial" w:hAnsi="Arial" w:cs="Arial"/>
          <w:sz w:val="24"/>
          <w:szCs w:val="24"/>
        </w:rPr>
        <w:t>107.747,90</w:t>
      </w:r>
      <w:r w:rsidRPr="00C70A1B">
        <w:rPr>
          <w:rFonts w:ascii="Arial" w:hAnsi="Arial" w:cs="Arial"/>
          <w:sz w:val="24"/>
          <w:szCs w:val="24"/>
        </w:rPr>
        <w:t xml:space="preserve"> (</w:t>
      </w:r>
      <w:r>
        <w:rPr>
          <w:rFonts w:ascii="Arial" w:hAnsi="Arial" w:cs="Arial"/>
          <w:sz w:val="24"/>
          <w:szCs w:val="24"/>
        </w:rPr>
        <w:t>cento e sete mil, setecentos e quarenta e sete reais e noventa centavos</w:t>
      </w:r>
      <w:r w:rsidRPr="00C70A1B">
        <w:rPr>
          <w:rFonts w:ascii="Arial" w:hAnsi="Arial" w:cs="Arial"/>
          <w:sz w:val="24"/>
          <w:szCs w:val="24"/>
        </w:rPr>
        <w:t>);</w:t>
      </w:r>
    </w:p>
    <w:p w:rsidR="00D43FF6" w:rsidRPr="003F69D9" w:rsidRDefault="00D43FF6" w:rsidP="00D43FF6">
      <w:pPr>
        <w:tabs>
          <w:tab w:val="left" w:pos="709"/>
          <w:tab w:val="left" w:pos="2552"/>
          <w:tab w:val="left" w:pos="2835"/>
        </w:tabs>
        <w:spacing w:before="100" w:beforeAutospacing="1" w:after="100" w:afterAutospacing="1"/>
        <w:ind w:right="-1"/>
        <w:jc w:val="both"/>
        <w:rPr>
          <w:rFonts w:ascii="Arial" w:hAnsi="Arial" w:cs="Arial"/>
          <w:sz w:val="24"/>
          <w:szCs w:val="24"/>
        </w:rPr>
      </w:pPr>
      <w:r>
        <w:rPr>
          <w:rFonts w:ascii="Arial" w:hAnsi="Arial" w:cs="Arial"/>
          <w:sz w:val="24"/>
          <w:szCs w:val="24"/>
        </w:rPr>
        <w:t>Na</w:t>
      </w:r>
      <w:r w:rsidRPr="003F69D9">
        <w:rPr>
          <w:rFonts w:ascii="Arial" w:hAnsi="Arial" w:cs="Arial"/>
          <w:sz w:val="24"/>
          <w:szCs w:val="24"/>
        </w:rPr>
        <w:t xml:space="preserve"> </w:t>
      </w:r>
      <w:r>
        <w:rPr>
          <w:rFonts w:ascii="Arial" w:hAnsi="Arial" w:cs="Arial"/>
          <w:sz w:val="24"/>
          <w:szCs w:val="24"/>
        </w:rPr>
        <w:t>ata</w:t>
      </w:r>
      <w:r w:rsidRPr="003F69D9">
        <w:rPr>
          <w:rFonts w:ascii="Arial" w:hAnsi="Arial" w:cs="Arial"/>
          <w:sz w:val="24"/>
          <w:szCs w:val="24"/>
        </w:rPr>
        <w:t xml:space="preserve">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QUARTA – DAS OBRIGAÇÕES DO GERENCIADOR DA ATA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O ÓRGÃO GERENCIADOR, através do Setor de Compras, obriga-se a:</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Gerenciar</w:t>
      </w:r>
      <w:proofErr w:type="gramEnd"/>
      <w:r w:rsidRPr="003F69D9">
        <w:rPr>
          <w:rFonts w:ascii="Arial" w:eastAsia="Times New Roman" w:hAnsi="Arial" w:cs="Arial"/>
          <w:sz w:val="24"/>
          <w:szCs w:val="24"/>
        </w:rPr>
        <w:t xml:space="preserve"> a presente ARP, indicando, sempre que solicitado, os nomes dos fornecedores, os preços, os quantitativos disponíveis e as especificações dos materiais registrados, observada a ordem de classificação indicada na licitação;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 Convocar</w:t>
      </w:r>
      <w:proofErr w:type="gramEnd"/>
      <w:r w:rsidRPr="003F69D9">
        <w:rPr>
          <w:rFonts w:ascii="Arial" w:eastAsia="Times New Roman" w:hAnsi="Arial" w:cs="Arial"/>
          <w:sz w:val="24"/>
          <w:szCs w:val="24"/>
        </w:rPr>
        <w:t xml:space="preserve"> o fornecedor registrado, telefone ou e-mail, para retirada da nota de empenho;</w:t>
      </w:r>
    </w:p>
    <w:p w:rsidR="00D43FF6" w:rsidRPr="003F69D9" w:rsidRDefault="00D43FF6" w:rsidP="00D43FF6">
      <w:pPr>
        <w:ind w:right="-196"/>
        <w:jc w:val="both"/>
        <w:rPr>
          <w:rFonts w:ascii="Arial" w:eastAsia="Times New Roman" w:hAnsi="Arial" w:cs="Arial"/>
          <w:sz w:val="24"/>
          <w:szCs w:val="24"/>
        </w:rPr>
      </w:pPr>
      <w:bookmarkStart w:id="0" w:name="2"/>
      <w:bookmarkEnd w:id="0"/>
      <w:proofErr w:type="gramStart"/>
      <w:r w:rsidRPr="003F69D9">
        <w:rPr>
          <w:rFonts w:ascii="Arial" w:eastAsia="Times New Roman" w:hAnsi="Arial" w:cs="Arial"/>
          <w:sz w:val="24"/>
          <w:szCs w:val="24"/>
        </w:rPr>
        <w:t>c) Observar</w:t>
      </w:r>
      <w:proofErr w:type="gramEnd"/>
      <w:r w:rsidRPr="003F69D9">
        <w:rPr>
          <w:rFonts w:ascii="Arial" w:eastAsia="Times New Roman" w:hAnsi="Arial" w:cs="Arial"/>
          <w:sz w:val="24"/>
          <w:szCs w:val="24"/>
        </w:rPr>
        <w:t xml:space="preserve">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d) Conduzir</w:t>
      </w:r>
      <w:proofErr w:type="gramEnd"/>
      <w:r w:rsidRPr="003F69D9">
        <w:rPr>
          <w:rFonts w:ascii="Arial" w:eastAsia="Times New Roman" w:hAnsi="Arial" w:cs="Arial"/>
          <w:sz w:val="24"/>
          <w:szCs w:val="24"/>
        </w:rPr>
        <w:t xml:space="preserve"> eventuais procedimentos administrativos de renegociação de preços registrados, para fins de adequação às novas condições de mercado;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e) Consultar</w:t>
      </w:r>
      <w:proofErr w:type="gramEnd"/>
      <w:r w:rsidRPr="003F69D9">
        <w:rPr>
          <w:rFonts w:ascii="Arial" w:eastAsia="Times New Roman" w:hAnsi="Arial" w:cs="Arial"/>
          <w:sz w:val="24"/>
          <w:szCs w:val="24"/>
        </w:rPr>
        <w:t xml:space="preserve"> os fornecedores registrados (observada a ordem de classificação) quanto ao interesse em fornecimento dos materiais a outros órgãos da Administração Pública que externem a intenção de utilizar a presente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f) Acompanhar e fiscalizar</w:t>
      </w:r>
      <w:proofErr w:type="gramEnd"/>
      <w:r w:rsidRPr="003F69D9">
        <w:rPr>
          <w:rFonts w:ascii="Arial" w:eastAsia="Times New Roman" w:hAnsi="Arial" w:cs="Arial"/>
          <w:sz w:val="24"/>
          <w:szCs w:val="24"/>
        </w:rPr>
        <w:t xml:space="preserve"> o cumprimento das condições ajustadas no edital da licitação e na presente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Designar</w:t>
      </w:r>
      <w:proofErr w:type="gramEnd"/>
      <w:r w:rsidRPr="003F69D9">
        <w:rPr>
          <w:rFonts w:ascii="Arial" w:eastAsia="Times New Roman" w:hAnsi="Arial" w:cs="Arial"/>
          <w:sz w:val="24"/>
          <w:szCs w:val="24"/>
        </w:rPr>
        <w:t>, dentre os servidores das unidades requisitantes, gestores de compras que serão responsáveis pelo recebimento e controle dos abastecimentos;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QUINTA - DA VIGÊNCIA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terá vigência de 12 (doze) meses, a contar da data da sua assinatura, vigorando até o</w:t>
      </w:r>
      <w:r>
        <w:rPr>
          <w:rFonts w:ascii="Arial" w:eastAsia="Times New Roman" w:hAnsi="Arial" w:cs="Arial"/>
          <w:sz w:val="24"/>
          <w:szCs w:val="24"/>
        </w:rPr>
        <w:t xml:space="preserve"> dia 01 de fevereiro</w:t>
      </w:r>
      <w:r w:rsidRPr="003F69D9">
        <w:rPr>
          <w:rFonts w:ascii="Arial" w:eastAsia="Times New Roman" w:hAnsi="Arial" w:cs="Arial"/>
          <w:sz w:val="24"/>
          <w:szCs w:val="24"/>
        </w:rPr>
        <w:t xml:space="preserve"> de 202</w:t>
      </w:r>
      <w:r>
        <w:rPr>
          <w:rFonts w:ascii="Arial" w:eastAsia="Times New Roman" w:hAnsi="Arial" w:cs="Arial"/>
          <w:sz w:val="24"/>
          <w:szCs w:val="24"/>
        </w:rPr>
        <w:t>4</w:t>
      </w:r>
      <w:r w:rsidRPr="003F69D9">
        <w:rPr>
          <w:rFonts w:ascii="Arial" w:eastAsia="Times New Roman" w:hAnsi="Arial" w:cs="Arial"/>
          <w:sz w:val="24"/>
          <w:szCs w:val="24"/>
        </w:rPr>
        <w:t>.</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SEXTA – DA CONDIÇÃO ESPECÍFICA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SÉTIMA – DA PUBLICIDADE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Os preços, os quantitativos, </w:t>
      </w:r>
      <w:proofErr w:type="gramStart"/>
      <w:r w:rsidRPr="003F69D9">
        <w:rPr>
          <w:rFonts w:ascii="Arial" w:eastAsia="Times New Roman" w:hAnsi="Arial" w:cs="Arial"/>
          <w:sz w:val="24"/>
          <w:szCs w:val="24"/>
        </w:rPr>
        <w:t>o(</w:t>
      </w:r>
      <w:proofErr w:type="gramEnd"/>
      <w:r w:rsidRPr="003F69D9">
        <w:rPr>
          <w:rFonts w:ascii="Arial" w:eastAsia="Times New Roman" w:hAnsi="Arial" w:cs="Arial"/>
          <w:sz w:val="24"/>
          <w:szCs w:val="24"/>
        </w:rPr>
        <w:t>s) fornecedor(es), como também as possíveis alterações da presente ARP, serão publicadas no Diário Oficial do Município de Desterro do Melo e site oficial do Município.</w:t>
      </w:r>
    </w:p>
    <w:p w:rsidR="00D43FF6" w:rsidRPr="003F69D9" w:rsidRDefault="00D43FF6" w:rsidP="00D43FF6">
      <w:pPr>
        <w:ind w:right="-196"/>
        <w:jc w:val="both"/>
        <w:rPr>
          <w:rFonts w:ascii="Arial" w:eastAsia="Times New Roman" w:hAnsi="Arial" w:cs="Arial"/>
          <w:sz w:val="24"/>
          <w:szCs w:val="24"/>
        </w:rPr>
      </w:pPr>
      <w:bookmarkStart w:id="1" w:name="6"/>
      <w:bookmarkEnd w:id="1"/>
    </w:p>
    <w:p w:rsidR="00D43FF6" w:rsidRPr="003F69D9" w:rsidRDefault="00D43FF6" w:rsidP="00D43FF6">
      <w:pPr>
        <w:ind w:right="-196"/>
        <w:jc w:val="both"/>
        <w:rPr>
          <w:rFonts w:ascii="Arial" w:hAnsi="Arial" w:cs="Arial"/>
          <w:b/>
          <w:sz w:val="24"/>
          <w:szCs w:val="24"/>
        </w:rPr>
      </w:pPr>
      <w:r w:rsidRPr="003F69D9">
        <w:rPr>
          <w:rFonts w:ascii="Arial" w:eastAsia="Times New Roman" w:hAnsi="Arial" w:cs="Arial"/>
          <w:b/>
          <w:sz w:val="24"/>
          <w:szCs w:val="24"/>
        </w:rPr>
        <w:t xml:space="preserve">CLÁUSULA OITAVA – </w:t>
      </w:r>
      <w:r w:rsidRPr="003F69D9">
        <w:rPr>
          <w:rFonts w:ascii="Arial" w:hAnsi="Arial" w:cs="Arial"/>
          <w:b/>
          <w:sz w:val="24"/>
          <w:szCs w:val="24"/>
        </w:rPr>
        <w:t>DA UTILIZAÇÃO DA ATA POR ÓRGÃOS NÃO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1.1) - Os órgãos e entidades que não participaram do registro de preços, quando desejarem fazer uso desta ata de registro de preços, deverão consultar o órgão gerenciador da ata para manifestação sobre a possibilidade de adesão.</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1.5) - Autorizada a adesão, o órgão não participante (o "carona") deverá efetivar a aquisição ou contratação solicitada em até noventa dias, observado o prazo de vigência da ata.</w:t>
      </w:r>
    </w:p>
    <w:p w:rsidR="00D43FF6" w:rsidRPr="003F69D9" w:rsidRDefault="00D43FF6" w:rsidP="00D43FF6">
      <w:pPr>
        <w:ind w:right="-196"/>
        <w:jc w:val="both"/>
        <w:rPr>
          <w:rFonts w:ascii="Arial" w:eastAsia="Times New Roman" w:hAnsi="Arial" w:cs="Arial"/>
          <w:b/>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PRIMEIRA – DO CANCELAMENTO DO REGISTRO DO FORNECEDOR</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O FORNECEDOR terá seu registro cancelado nos seguintes casos: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 – Por iniciativa da Administração, quando: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Não</w:t>
      </w:r>
      <w:proofErr w:type="gramEnd"/>
      <w:r w:rsidRPr="003F69D9">
        <w:rPr>
          <w:rFonts w:ascii="Arial" w:eastAsia="Times New Roman" w:hAnsi="Arial" w:cs="Arial"/>
          <w:sz w:val="24"/>
          <w:szCs w:val="24"/>
        </w:rPr>
        <w:t xml:space="preserve"> cumprir as exigências do instrumento convocatório da licitação supracitada e as condições da presente ARP; </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 Recusar-se</w:t>
      </w:r>
      <w:proofErr w:type="gramEnd"/>
      <w:r w:rsidRPr="003F69D9">
        <w:rPr>
          <w:rFonts w:ascii="Arial" w:eastAsia="Times New Roman" w:hAnsi="Arial" w:cs="Arial"/>
          <w:sz w:val="24"/>
          <w:szCs w:val="24"/>
        </w:rPr>
        <w:t xml:space="preserve"> a retirar a nota de empenho nos prazos estabelecidos, salvo por motivo devidamente justificado e aceito pela Administração;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c) Der</w:t>
      </w:r>
      <w:proofErr w:type="gramEnd"/>
      <w:r w:rsidRPr="003F69D9">
        <w:rPr>
          <w:rFonts w:ascii="Arial" w:eastAsia="Times New Roman" w:hAnsi="Arial" w:cs="Arial"/>
          <w:sz w:val="24"/>
          <w:szCs w:val="24"/>
        </w:rPr>
        <w:t xml:space="preserve"> causa à rescisão administrativa decorrente desta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d) Em</w:t>
      </w:r>
      <w:proofErr w:type="gramEnd"/>
      <w:r w:rsidRPr="003F69D9">
        <w:rPr>
          <w:rFonts w:ascii="Arial" w:eastAsia="Times New Roman" w:hAnsi="Arial" w:cs="Arial"/>
          <w:sz w:val="24"/>
          <w:szCs w:val="24"/>
        </w:rPr>
        <w:t xml:space="preserve"> qualquer das hipóteses de inexecução total ou parcial relativa ao presente Registro de Preços;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e) Não</w:t>
      </w:r>
      <w:proofErr w:type="gramEnd"/>
      <w:r w:rsidRPr="003F69D9">
        <w:rPr>
          <w:rFonts w:ascii="Arial" w:eastAsia="Times New Roman" w:hAnsi="Arial" w:cs="Arial"/>
          <w:sz w:val="24"/>
          <w:szCs w:val="24"/>
        </w:rPr>
        <w:t xml:space="preserve"> manutenção das condições de habilitação e compatibilidade;</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f) Não</w:t>
      </w:r>
      <w:proofErr w:type="gramEnd"/>
      <w:r w:rsidRPr="003F69D9">
        <w:rPr>
          <w:rFonts w:ascii="Arial" w:eastAsia="Times New Roman" w:hAnsi="Arial" w:cs="Arial"/>
          <w:sz w:val="24"/>
          <w:szCs w:val="24"/>
        </w:rPr>
        <w:t xml:space="preserve"> aceitar a redução dos preços registrados, nas hipóteses previstas na legislação;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Em</w:t>
      </w:r>
      <w:proofErr w:type="gramEnd"/>
      <w:r w:rsidRPr="003F69D9">
        <w:rPr>
          <w:rFonts w:ascii="Arial" w:eastAsia="Times New Roman" w:hAnsi="Arial" w:cs="Arial"/>
          <w:sz w:val="24"/>
          <w:szCs w:val="24"/>
        </w:rPr>
        <w:t xml:space="preserve"> razões de interesse público, devidamente justificadas.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h) Não</w:t>
      </w:r>
      <w:proofErr w:type="gramEnd"/>
      <w:r w:rsidRPr="003F69D9">
        <w:rPr>
          <w:rFonts w:ascii="Arial" w:eastAsia="Times New Roman" w:hAnsi="Arial" w:cs="Arial"/>
          <w:sz w:val="24"/>
          <w:szCs w:val="24"/>
        </w:rPr>
        <w:t xml:space="preserve"> fornecer os materiais em compatibilidade com as condições de quantidade e qualidade;</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i) Não</w:t>
      </w:r>
      <w:proofErr w:type="gramEnd"/>
      <w:r w:rsidRPr="003F69D9">
        <w:rPr>
          <w:rFonts w:ascii="Arial" w:eastAsia="Times New Roman" w:hAnsi="Arial" w:cs="Arial"/>
          <w:sz w:val="24"/>
          <w:szCs w:val="24"/>
        </w:rPr>
        <w:t xml:space="preserve"> respeitar as condições determinadas pela ANVISA pertinentes ao manuseio, transporte e acondicionamento dos materiais perecíveis.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j) Não Cumprir integralmente os prazos e locais de entrega determinados pela Administração.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SEGUNDA – DAS PENALIDADES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A Administração poderá aplicar ao FORNECEDOR as penalidades previstas no artigo 28 do Decreto nº 5.450/2005, A Administração poderá, ainda, a seu critério, </w:t>
      </w:r>
      <w:r w:rsidRPr="003F69D9">
        <w:rPr>
          <w:rFonts w:ascii="Arial" w:eastAsia="Times New Roman" w:hAnsi="Arial" w:cs="Arial"/>
          <w:sz w:val="24"/>
          <w:szCs w:val="24"/>
        </w:rPr>
        <w:lastRenderedPageBreak/>
        <w:t xml:space="preserve">utilizar-se subsidiariamente das sanções previstas na Lei nº 8.666/93, no que couber. </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b) Com fundamento no art. 28 da do Decreto nº 5.450/2005, ficará impedida de licitar e contratar com o Município de Desterro do Melo, pelo prazo de até 5 (cinco) anos, sem prejuízo das demais cominações legais e de multa compensatória de até 30% (trinta por cento) sobre o valor do </w:t>
      </w:r>
      <w:proofErr w:type="gramStart"/>
      <w:r w:rsidRPr="003F69D9">
        <w:rPr>
          <w:rFonts w:ascii="Arial" w:eastAsia="Times New Roman" w:hAnsi="Arial" w:cs="Arial"/>
          <w:sz w:val="24"/>
          <w:szCs w:val="24"/>
        </w:rPr>
        <w:t>item(</w:t>
      </w:r>
      <w:proofErr w:type="gramEnd"/>
      <w:r w:rsidRPr="003F69D9">
        <w:rPr>
          <w:rFonts w:ascii="Arial" w:eastAsia="Times New Roman" w:hAnsi="Arial" w:cs="Arial"/>
          <w:sz w:val="24"/>
          <w:szCs w:val="24"/>
        </w:rPr>
        <w:t>s)/contratação, a Contratada que: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b.1</w:t>
      </w:r>
      <w:proofErr w:type="gramStart"/>
      <w:r w:rsidRPr="003F69D9">
        <w:rPr>
          <w:rFonts w:ascii="Arial" w:eastAsia="Times New Roman" w:hAnsi="Arial" w:cs="Arial"/>
          <w:sz w:val="24"/>
          <w:szCs w:val="24"/>
        </w:rPr>
        <w:t>) Apresentar</w:t>
      </w:r>
      <w:proofErr w:type="gramEnd"/>
      <w:r w:rsidRPr="003F69D9">
        <w:rPr>
          <w:rFonts w:ascii="Arial" w:eastAsia="Times New Roman" w:hAnsi="Arial" w:cs="Arial"/>
          <w:sz w:val="24"/>
          <w:szCs w:val="24"/>
        </w:rPr>
        <w:t xml:space="preserve"> documentação falsa;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b.2</w:t>
      </w:r>
      <w:proofErr w:type="gramStart"/>
      <w:r w:rsidRPr="003F69D9">
        <w:rPr>
          <w:rFonts w:ascii="Arial" w:eastAsia="Times New Roman" w:hAnsi="Arial" w:cs="Arial"/>
          <w:sz w:val="24"/>
          <w:szCs w:val="24"/>
        </w:rPr>
        <w:t>) Ensejar</w:t>
      </w:r>
      <w:proofErr w:type="gramEnd"/>
      <w:r w:rsidRPr="003F69D9">
        <w:rPr>
          <w:rFonts w:ascii="Arial" w:eastAsia="Times New Roman" w:hAnsi="Arial" w:cs="Arial"/>
          <w:sz w:val="24"/>
          <w:szCs w:val="24"/>
        </w:rPr>
        <w:t xml:space="preserve"> o retardamento da execução do seu objeto;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b.3</w:t>
      </w:r>
      <w:proofErr w:type="gramStart"/>
      <w:r w:rsidRPr="003F69D9">
        <w:rPr>
          <w:rFonts w:ascii="Arial" w:eastAsia="Times New Roman" w:hAnsi="Arial" w:cs="Arial"/>
          <w:sz w:val="24"/>
          <w:szCs w:val="24"/>
        </w:rPr>
        <w:t>) Falhar ou fraudar</w:t>
      </w:r>
      <w:proofErr w:type="gramEnd"/>
      <w:r w:rsidRPr="003F69D9">
        <w:rPr>
          <w:rFonts w:ascii="Arial" w:eastAsia="Times New Roman" w:hAnsi="Arial" w:cs="Arial"/>
          <w:sz w:val="24"/>
          <w:szCs w:val="24"/>
        </w:rPr>
        <w:t xml:space="preserve"> na execução do contrato;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b.4) Comportar-se de modo inidôneo;</w:t>
      </w:r>
      <w:bookmarkStart w:id="2" w:name="7"/>
      <w:bookmarkEnd w:id="2"/>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b.5</w:t>
      </w:r>
      <w:proofErr w:type="gramStart"/>
      <w:r w:rsidRPr="003F69D9">
        <w:rPr>
          <w:rFonts w:ascii="Arial" w:eastAsia="Times New Roman" w:hAnsi="Arial" w:cs="Arial"/>
          <w:sz w:val="24"/>
          <w:szCs w:val="24"/>
        </w:rPr>
        <w:t>) Fizer</w:t>
      </w:r>
      <w:proofErr w:type="gramEnd"/>
      <w:r w:rsidRPr="003F69D9">
        <w:rPr>
          <w:rFonts w:ascii="Arial" w:eastAsia="Times New Roman" w:hAnsi="Arial" w:cs="Arial"/>
          <w:sz w:val="24"/>
          <w:szCs w:val="24"/>
        </w:rPr>
        <w:t xml:space="preserve"> declaração falsa; 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b.6</w:t>
      </w:r>
      <w:proofErr w:type="gramStart"/>
      <w:r w:rsidRPr="003F69D9">
        <w:rPr>
          <w:rFonts w:ascii="Arial" w:eastAsia="Times New Roman" w:hAnsi="Arial" w:cs="Arial"/>
          <w:sz w:val="24"/>
          <w:szCs w:val="24"/>
        </w:rPr>
        <w:t>) Cometer</w:t>
      </w:r>
      <w:proofErr w:type="gramEnd"/>
      <w:r w:rsidRPr="003F69D9">
        <w:rPr>
          <w:rFonts w:ascii="Arial" w:eastAsia="Times New Roman" w:hAnsi="Arial" w:cs="Arial"/>
          <w:sz w:val="24"/>
          <w:szCs w:val="24"/>
        </w:rPr>
        <w:t xml:space="preserve"> fraude fiscal.</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c) Para</w:t>
      </w:r>
      <w:proofErr w:type="gramEnd"/>
      <w:r w:rsidRPr="003F69D9">
        <w:rPr>
          <w:rFonts w:ascii="Arial" w:eastAsia="Times New Roman" w:hAnsi="Arial" w:cs="Arial"/>
          <w:sz w:val="24"/>
          <w:szCs w:val="24"/>
        </w:rPr>
        <w:t xml:space="preserve"> os fins da alínea “b.4”, reputar-se-ão inidôneos atos como os descritos nos </w:t>
      </w:r>
      <w:proofErr w:type="spellStart"/>
      <w:r w:rsidRPr="003F69D9">
        <w:rPr>
          <w:rFonts w:ascii="Arial" w:eastAsia="Times New Roman" w:hAnsi="Arial" w:cs="Arial"/>
          <w:sz w:val="24"/>
          <w:szCs w:val="24"/>
        </w:rPr>
        <w:t>arts</w:t>
      </w:r>
      <w:proofErr w:type="spellEnd"/>
      <w:r w:rsidRPr="003F69D9">
        <w:rPr>
          <w:rFonts w:ascii="Arial" w:eastAsia="Times New Roman" w:hAnsi="Arial" w:cs="Arial"/>
          <w:sz w:val="24"/>
          <w:szCs w:val="24"/>
        </w:rPr>
        <w:t>. 90, 92, 93, 94, 95 e 97 da Lei nº 8.666/93.</w:t>
      </w: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d) A Contratada ficará sujeita, no caso de inexecução parcial ou total da obrigação, com fundamento no art. 86 da Lei nº 8.666/93, à seguinte penalidade: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e) As multas moratória e compensatória poderão ser cumuladas com as sanções previstas na alínea “a”.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f) A aplicação das multas compensatória e moratória serão publicadas no Diário Oficial do Município, devendo a intimação da apenada dar-se por meio de notificação;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As</w:t>
      </w:r>
      <w:proofErr w:type="gramEnd"/>
      <w:r w:rsidRPr="003F69D9">
        <w:rPr>
          <w:rFonts w:ascii="Arial" w:eastAsia="Times New Roman" w:hAnsi="Arial" w:cs="Arial"/>
          <w:sz w:val="24"/>
          <w:szCs w:val="24"/>
        </w:rPr>
        <w:t xml:space="preserve"> sanções estabelecidas nesta cláusula são da competência exclusiva da autoridade designada nos normativos internos da Administração, facultada a defesa do interessado no respectivo processo, no prazo de 10 (dez) dias da efetiva notificação.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 O valor da multa moratória ou compensatória, nos termos do artigo 86, § 3º da LLC, poderá ser descontado dos créditos da Contratada, da garantia contratual ou cobrado judicialmente, nesta ordem.</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k) As</w:t>
      </w:r>
      <w:proofErr w:type="gramEnd"/>
      <w:r w:rsidRPr="003F69D9">
        <w:rPr>
          <w:rFonts w:ascii="Arial" w:eastAsia="Times New Roman" w:hAnsi="Arial" w:cs="Arial"/>
          <w:sz w:val="24"/>
          <w:szCs w:val="24"/>
        </w:rPr>
        <w:t xml:space="preserve"> penalidades estabelecidas nestas cláusulas deverão ser registradas no Setor de Compras e Jurídico do Município de Desterro do Melo.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TERCEIRA – DA DOCUMENTAÇÃO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vincula-se às disposições contidas nos documentos a seguir especificados, cujos teores são conhecidos e acatados pelas partes:</w:t>
      </w:r>
    </w:p>
    <w:p w:rsidR="00D43FF6" w:rsidRPr="003F69D9" w:rsidRDefault="00D43FF6" w:rsidP="00D43FF6">
      <w:pPr>
        <w:ind w:right="-196"/>
        <w:jc w:val="both"/>
        <w:rPr>
          <w:rFonts w:ascii="Arial" w:eastAsia="Times New Roman" w:hAnsi="Arial" w:cs="Arial"/>
          <w:sz w:val="24"/>
          <w:szCs w:val="24"/>
        </w:rPr>
      </w:pPr>
      <w:bookmarkStart w:id="3" w:name="8"/>
      <w:bookmarkEnd w:id="3"/>
      <w:r w:rsidRPr="003F69D9">
        <w:rPr>
          <w:rFonts w:ascii="Arial" w:eastAsia="Times New Roman" w:hAnsi="Arial" w:cs="Arial"/>
          <w:sz w:val="24"/>
          <w:szCs w:val="24"/>
        </w:rPr>
        <w:t>a) Processo Administrativo nº 0</w:t>
      </w:r>
      <w:r>
        <w:rPr>
          <w:rFonts w:ascii="Arial" w:eastAsia="Times New Roman" w:hAnsi="Arial" w:cs="Arial"/>
          <w:sz w:val="24"/>
          <w:szCs w:val="24"/>
        </w:rPr>
        <w:t>04</w:t>
      </w:r>
      <w:r w:rsidRPr="003F69D9">
        <w:rPr>
          <w:rFonts w:ascii="Arial" w:eastAsia="Times New Roman" w:hAnsi="Arial" w:cs="Arial"/>
          <w:sz w:val="24"/>
          <w:szCs w:val="24"/>
        </w:rPr>
        <w:t>/202</w:t>
      </w:r>
      <w:r>
        <w:rPr>
          <w:rFonts w:ascii="Arial" w:eastAsia="Times New Roman" w:hAnsi="Arial" w:cs="Arial"/>
          <w:sz w:val="24"/>
          <w:szCs w:val="24"/>
        </w:rPr>
        <w:t>3</w:t>
      </w:r>
      <w:r w:rsidRPr="003F69D9">
        <w:rPr>
          <w:rFonts w:ascii="Arial" w:eastAsia="Times New Roman" w:hAnsi="Arial" w:cs="Arial"/>
          <w:sz w:val="24"/>
          <w:szCs w:val="24"/>
        </w:rPr>
        <w:t>;</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 Edital do Pregão Presencial nº 0</w:t>
      </w:r>
      <w:r>
        <w:rPr>
          <w:rFonts w:ascii="Arial" w:eastAsia="Times New Roman" w:hAnsi="Arial" w:cs="Arial"/>
          <w:sz w:val="24"/>
          <w:szCs w:val="24"/>
        </w:rPr>
        <w:t>04</w:t>
      </w:r>
      <w:r w:rsidRPr="003F69D9">
        <w:rPr>
          <w:rFonts w:ascii="Arial" w:eastAsia="Times New Roman" w:hAnsi="Arial" w:cs="Arial"/>
          <w:sz w:val="24"/>
          <w:szCs w:val="24"/>
        </w:rPr>
        <w:t>/202</w:t>
      </w:r>
      <w:r>
        <w:rPr>
          <w:rFonts w:ascii="Arial" w:eastAsia="Times New Roman" w:hAnsi="Arial" w:cs="Arial"/>
          <w:sz w:val="24"/>
          <w:szCs w:val="24"/>
        </w:rPr>
        <w:t>3</w:t>
      </w:r>
      <w:r w:rsidRPr="003F69D9">
        <w:rPr>
          <w:rFonts w:ascii="Arial" w:eastAsia="Times New Roman" w:hAnsi="Arial" w:cs="Arial"/>
          <w:sz w:val="24"/>
          <w:szCs w:val="24"/>
        </w:rPr>
        <w:t xml:space="preserve"> e anexos;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c) Proposta Comercial da FORNECEDORA.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QUARTA – DO FORO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Para dirimir as questões decorrentes da presente Ata de Registro de Preços, fica eleito o foro da Comarca de Barbacena - Minas Gerais, com renúncia expressa a qualquer outro, por mais privilegiado que seja.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Nada mais havendo a tratar eu, Mayara Garcia Lopes da Silva </w:t>
      </w:r>
      <w:proofErr w:type="spellStart"/>
      <w:r w:rsidRPr="003F69D9">
        <w:rPr>
          <w:rFonts w:ascii="Arial" w:eastAsia="Times New Roman" w:hAnsi="Arial" w:cs="Arial"/>
          <w:sz w:val="24"/>
          <w:szCs w:val="24"/>
        </w:rPr>
        <w:t>Tafuri</w:t>
      </w:r>
      <w:proofErr w:type="spellEnd"/>
      <w:r w:rsidRPr="003F69D9">
        <w:rPr>
          <w:rFonts w:ascii="Arial" w:eastAsia="Times New Roman" w:hAnsi="Arial" w:cs="Arial"/>
          <w:sz w:val="24"/>
          <w:szCs w:val="24"/>
        </w:rPr>
        <w:t>, Prefeita do Município de Desterro do Melo, lavrei a presente Ata de Registro de Preços que lida e achada conforme vai assinada pelo ÓRGÃO GERENCIADOR e pelo particular fornecedor.</w:t>
      </w:r>
    </w:p>
    <w:p w:rsidR="00D43FF6"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sz w:val="24"/>
          <w:szCs w:val="24"/>
        </w:rPr>
      </w:pPr>
      <w:r>
        <w:rPr>
          <w:rFonts w:ascii="Arial" w:eastAsia="Times New Roman" w:hAnsi="Arial" w:cs="Arial"/>
          <w:sz w:val="24"/>
          <w:szCs w:val="24"/>
        </w:rPr>
        <w:t>Desterro do Melo, 31</w:t>
      </w:r>
      <w:r w:rsidRPr="003F69D9">
        <w:rPr>
          <w:rFonts w:ascii="Arial" w:eastAsia="Times New Roman" w:hAnsi="Arial" w:cs="Arial"/>
          <w:sz w:val="24"/>
          <w:szCs w:val="24"/>
        </w:rPr>
        <w:t xml:space="preserve"> de </w:t>
      </w:r>
      <w:proofErr w:type="gramStart"/>
      <w:r>
        <w:rPr>
          <w:rFonts w:ascii="Arial" w:eastAsia="Times New Roman" w:hAnsi="Arial" w:cs="Arial"/>
          <w:sz w:val="24"/>
          <w:szCs w:val="24"/>
        </w:rPr>
        <w:t>Janeiro</w:t>
      </w:r>
      <w:proofErr w:type="gramEnd"/>
      <w:r>
        <w:rPr>
          <w:rFonts w:ascii="Arial" w:eastAsia="Times New Roman" w:hAnsi="Arial" w:cs="Arial"/>
          <w:sz w:val="24"/>
          <w:szCs w:val="24"/>
        </w:rPr>
        <w:t xml:space="preserve"> de 2023</w:t>
      </w:r>
      <w:r w:rsidRPr="003F69D9">
        <w:rPr>
          <w:rFonts w:ascii="Arial" w:eastAsia="Times New Roman" w:hAnsi="Arial" w:cs="Arial"/>
          <w:sz w:val="24"/>
          <w:szCs w:val="24"/>
        </w:rPr>
        <w:t>.</w:t>
      </w:r>
    </w:p>
    <w:p w:rsidR="00D43FF6" w:rsidRDefault="00D43FF6" w:rsidP="00D43FF6">
      <w:pPr>
        <w:ind w:right="-196"/>
        <w:jc w:val="both"/>
        <w:rPr>
          <w:rFonts w:ascii="Arial" w:eastAsia="Times New Roman" w:hAnsi="Arial" w:cs="Arial"/>
          <w:sz w:val="24"/>
          <w:szCs w:val="24"/>
        </w:rPr>
      </w:pPr>
    </w:p>
    <w:p w:rsidR="0016525E" w:rsidRDefault="0016525E" w:rsidP="00D43FF6">
      <w:pPr>
        <w:ind w:right="-196"/>
        <w:jc w:val="both"/>
        <w:rPr>
          <w:rFonts w:ascii="Arial" w:eastAsia="Times New Roman" w:hAnsi="Arial" w:cs="Arial"/>
          <w:sz w:val="24"/>
          <w:szCs w:val="24"/>
        </w:rPr>
      </w:pPr>
    </w:p>
    <w:p w:rsidR="0016525E" w:rsidRPr="003F69D9" w:rsidRDefault="0016525E" w:rsidP="00D43FF6">
      <w:pPr>
        <w:ind w:right="-196"/>
        <w:jc w:val="both"/>
        <w:rPr>
          <w:rFonts w:ascii="Arial" w:eastAsia="Times New Roman" w:hAnsi="Arial" w:cs="Arial"/>
          <w:sz w:val="24"/>
          <w:szCs w:val="24"/>
        </w:rPr>
      </w:pPr>
      <w:bookmarkStart w:id="4" w:name="_GoBack"/>
      <w:bookmarkEnd w:id="4"/>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D43FF6" w:rsidRPr="003F69D9" w:rsidRDefault="00D43FF6" w:rsidP="00DC0847">
      <w:pPr>
        <w:ind w:right="-196"/>
        <w:jc w:val="center"/>
        <w:rPr>
          <w:rFonts w:ascii="Arial" w:eastAsia="Times New Roman" w:hAnsi="Arial" w:cs="Arial"/>
          <w:b/>
          <w:sz w:val="24"/>
          <w:szCs w:val="24"/>
        </w:rPr>
      </w:pPr>
      <w:r w:rsidRPr="003F69D9">
        <w:rPr>
          <w:rFonts w:ascii="Arial" w:eastAsia="Times New Roman" w:hAnsi="Arial" w:cs="Arial"/>
          <w:b/>
          <w:sz w:val="24"/>
          <w:szCs w:val="24"/>
        </w:rPr>
        <w:t>MAYARA LOPES GARCIA DA SILVA TAFURI</w:t>
      </w: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Prefeita Municipal</w:t>
      </w: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Órgão Gerenciador</w:t>
      </w: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r w:rsidR="0016525E">
        <w:rPr>
          <w:rFonts w:ascii="Arial" w:eastAsia="Times New Roman" w:hAnsi="Arial" w:cs="Arial"/>
          <w:sz w:val="24"/>
          <w:szCs w:val="24"/>
        </w:rPr>
        <w:t>________________</w:t>
      </w:r>
    </w:p>
    <w:p w:rsidR="0016525E" w:rsidRDefault="0016525E" w:rsidP="00DC0847">
      <w:pPr>
        <w:ind w:right="-196"/>
        <w:jc w:val="center"/>
        <w:rPr>
          <w:rFonts w:ascii="Arial" w:hAnsi="Arial" w:cs="Arial"/>
          <w:b/>
          <w:sz w:val="24"/>
          <w:szCs w:val="24"/>
        </w:rPr>
      </w:pPr>
      <w:r>
        <w:rPr>
          <w:rFonts w:ascii="Arial" w:hAnsi="Arial" w:cs="Arial"/>
          <w:b/>
          <w:sz w:val="24"/>
          <w:szCs w:val="24"/>
        </w:rPr>
        <w:t>DISTRIBUIDORA NOSSA SENHORA DO DESTERRO LTDA</w:t>
      </w:r>
    </w:p>
    <w:p w:rsidR="00DC0847" w:rsidRDefault="0016525E" w:rsidP="00DC0847">
      <w:pPr>
        <w:ind w:right="-196"/>
        <w:jc w:val="center"/>
        <w:rPr>
          <w:rFonts w:ascii="Arial" w:hAnsi="Arial" w:cs="Arial"/>
          <w:sz w:val="24"/>
          <w:szCs w:val="24"/>
        </w:rPr>
      </w:pPr>
      <w:r w:rsidRPr="009A338A">
        <w:rPr>
          <w:rFonts w:ascii="Arial" w:hAnsi="Arial" w:cs="Arial"/>
          <w:sz w:val="24"/>
          <w:szCs w:val="24"/>
        </w:rPr>
        <w:t xml:space="preserve"> CNPJ nº </w:t>
      </w:r>
      <w:r>
        <w:rPr>
          <w:rFonts w:ascii="Arial" w:hAnsi="Arial" w:cs="Arial"/>
          <w:sz w:val="24"/>
          <w:szCs w:val="24"/>
        </w:rPr>
        <w:t>44.053.953/0001-93</w:t>
      </w:r>
    </w:p>
    <w:p w:rsidR="0016525E" w:rsidRDefault="0016525E" w:rsidP="00DC0847">
      <w:pPr>
        <w:ind w:right="-196"/>
        <w:jc w:val="center"/>
        <w:rPr>
          <w:rFonts w:ascii="Arial" w:hAnsi="Arial" w:cs="Arial"/>
          <w:sz w:val="24"/>
          <w:szCs w:val="24"/>
        </w:rPr>
      </w:pPr>
    </w:p>
    <w:p w:rsidR="0016525E" w:rsidRPr="003F69D9" w:rsidRDefault="0016525E" w:rsidP="00DC0847">
      <w:pPr>
        <w:ind w:right="-196"/>
        <w:jc w:val="center"/>
        <w:rPr>
          <w:rFonts w:ascii="Arial" w:hAnsi="Arial" w:cs="Arial"/>
          <w:sz w:val="24"/>
          <w:szCs w:val="24"/>
        </w:rPr>
      </w:pP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D43FF6" w:rsidRPr="003F69D9" w:rsidRDefault="00D43FF6" w:rsidP="00DC0847">
      <w:pPr>
        <w:ind w:right="-196"/>
        <w:jc w:val="center"/>
        <w:rPr>
          <w:rFonts w:ascii="Arial" w:hAnsi="Arial" w:cs="Arial"/>
          <w:b/>
          <w:sz w:val="24"/>
          <w:szCs w:val="24"/>
        </w:rPr>
      </w:pPr>
      <w:r w:rsidRPr="003F69D9">
        <w:rPr>
          <w:rFonts w:ascii="Arial" w:hAnsi="Arial" w:cs="Arial"/>
          <w:b/>
          <w:sz w:val="24"/>
          <w:szCs w:val="24"/>
        </w:rPr>
        <w:t>TESTEMUNHA /CPF</w:t>
      </w:r>
    </w:p>
    <w:p w:rsidR="00D43FF6" w:rsidRPr="003F69D9" w:rsidRDefault="00D43FF6" w:rsidP="00DC0847">
      <w:pPr>
        <w:ind w:right="-196"/>
        <w:jc w:val="center"/>
        <w:rPr>
          <w:rFonts w:ascii="Arial" w:eastAsia="Times New Roman" w:hAnsi="Arial" w:cs="Arial"/>
          <w:sz w:val="24"/>
          <w:szCs w:val="24"/>
        </w:rPr>
      </w:pPr>
    </w:p>
    <w:p w:rsidR="00D43FF6" w:rsidRPr="003F69D9" w:rsidRDefault="00D43FF6" w:rsidP="00DC0847">
      <w:pPr>
        <w:ind w:right="-196"/>
        <w:jc w:val="center"/>
        <w:rPr>
          <w:rFonts w:ascii="Arial" w:eastAsia="Times New Roman" w:hAnsi="Arial" w:cs="Arial"/>
          <w:sz w:val="24"/>
          <w:szCs w:val="24"/>
        </w:rPr>
      </w:pP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2D602F" w:rsidRDefault="00D43FF6" w:rsidP="00DC0847">
      <w:pPr>
        <w:ind w:right="-196"/>
        <w:jc w:val="center"/>
        <w:rPr>
          <w:rFonts w:ascii="Arial" w:hAnsi="Arial" w:cs="Arial"/>
          <w:b/>
          <w:sz w:val="24"/>
          <w:szCs w:val="24"/>
        </w:rPr>
      </w:pPr>
      <w:r>
        <w:rPr>
          <w:rFonts w:ascii="Arial" w:hAnsi="Arial" w:cs="Arial"/>
          <w:b/>
          <w:sz w:val="24"/>
          <w:szCs w:val="24"/>
        </w:rPr>
        <w:lastRenderedPageBreak/>
        <w:t>TESTEMUNHA /CPF</w:t>
      </w:r>
    </w:p>
    <w:p w:rsidR="00EC4636" w:rsidRPr="00D43FF6" w:rsidRDefault="00EC4636" w:rsidP="00D43FF6">
      <w:pPr>
        <w:ind w:right="-196"/>
        <w:rPr>
          <w:rFonts w:ascii="Arial" w:hAnsi="Arial" w:cs="Arial"/>
          <w:b/>
          <w:sz w:val="24"/>
          <w:szCs w:val="24"/>
        </w:rPr>
      </w:pPr>
    </w:p>
    <w:sectPr w:rsidR="00EC4636" w:rsidRPr="00D43FF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F6" w:rsidRDefault="00D43FF6" w:rsidP="00D43FF6">
      <w:r>
        <w:separator/>
      </w:r>
    </w:p>
  </w:endnote>
  <w:endnote w:type="continuationSeparator" w:id="0">
    <w:p w:rsidR="00D43FF6" w:rsidRDefault="00D43FF6" w:rsidP="00D4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179279"/>
      <w:docPartObj>
        <w:docPartGallery w:val="Page Numbers (Bottom of Page)"/>
        <w:docPartUnique/>
      </w:docPartObj>
    </w:sdtPr>
    <w:sdtEndPr/>
    <w:sdtContent>
      <w:p w:rsidR="00D43FF6" w:rsidRDefault="00D43FF6">
        <w:pPr>
          <w:pStyle w:val="Rodap"/>
          <w:jc w:val="right"/>
        </w:pPr>
        <w:r>
          <w:fldChar w:fldCharType="begin"/>
        </w:r>
        <w:r>
          <w:instrText>PAGE   \* MERGEFORMAT</w:instrText>
        </w:r>
        <w:r>
          <w:fldChar w:fldCharType="separate"/>
        </w:r>
        <w:r w:rsidR="0016525E">
          <w:rPr>
            <w:noProof/>
          </w:rPr>
          <w:t>7</w:t>
        </w:r>
        <w:r>
          <w:fldChar w:fldCharType="end"/>
        </w:r>
      </w:p>
    </w:sdtContent>
  </w:sdt>
  <w:p w:rsidR="00D43FF6" w:rsidRDefault="00D43FF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F6" w:rsidRDefault="00D43FF6" w:rsidP="00D43FF6">
      <w:r>
        <w:separator/>
      </w:r>
    </w:p>
  </w:footnote>
  <w:footnote w:type="continuationSeparator" w:id="0">
    <w:p w:rsidR="00D43FF6" w:rsidRDefault="00D43FF6" w:rsidP="00D43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D43FF6" w:rsidRPr="00AA0421" w:rsidTr="00A475B8">
      <w:trPr>
        <w:jc w:val="center"/>
      </w:trPr>
      <w:tc>
        <w:tcPr>
          <w:tcW w:w="11341" w:type="dxa"/>
          <w:gridSpan w:val="2"/>
          <w:shd w:val="clear" w:color="auto" w:fill="FFFFFF"/>
        </w:tcPr>
        <w:p w:rsidR="00D43FF6" w:rsidRPr="00AA0421" w:rsidRDefault="00D43FF6" w:rsidP="00D43FF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3436CC00" wp14:editId="353CE01C">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43FF6" w:rsidRPr="00AA0421" w:rsidTr="00A475B8">
      <w:trPr>
        <w:jc w:val="center"/>
      </w:trPr>
      <w:tc>
        <w:tcPr>
          <w:tcW w:w="11341" w:type="dxa"/>
          <w:gridSpan w:val="2"/>
          <w:shd w:val="clear" w:color="auto" w:fill="FFFFFF"/>
        </w:tcPr>
        <w:p w:rsidR="00D43FF6" w:rsidRPr="00AA0421" w:rsidRDefault="00D43FF6" w:rsidP="00D43FF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D43FF6" w:rsidRPr="00AA0421" w:rsidTr="00A475B8">
      <w:trPr>
        <w:jc w:val="center"/>
      </w:trPr>
      <w:tc>
        <w:tcPr>
          <w:tcW w:w="11341" w:type="dxa"/>
          <w:gridSpan w:val="2"/>
          <w:shd w:val="clear" w:color="auto" w:fill="FFFFFF"/>
        </w:tcPr>
        <w:p w:rsidR="00D43FF6" w:rsidRPr="00597696" w:rsidRDefault="00D43FF6" w:rsidP="00D43FF6">
          <w:pPr>
            <w:pStyle w:val="Ttulo1"/>
            <w:spacing w:before="120" w:after="120"/>
            <w:rPr>
              <w:rFonts w:eastAsia="Times New Roman"/>
              <w:sz w:val="22"/>
              <w:szCs w:val="22"/>
            </w:rPr>
          </w:pPr>
          <w:r w:rsidRPr="00597696">
            <w:rPr>
              <w:rFonts w:eastAsia="Times New Roman"/>
              <w:sz w:val="22"/>
              <w:szCs w:val="22"/>
            </w:rPr>
            <w:t>PROCESSO DE LICITAÇÃO – 0</w:t>
          </w:r>
          <w:r>
            <w:rPr>
              <w:rFonts w:eastAsia="Times New Roman"/>
              <w:sz w:val="22"/>
              <w:szCs w:val="22"/>
            </w:rPr>
            <w:t>04</w:t>
          </w:r>
          <w:r w:rsidRPr="00597696">
            <w:rPr>
              <w:rFonts w:eastAsia="Times New Roman"/>
              <w:sz w:val="22"/>
              <w:szCs w:val="22"/>
            </w:rPr>
            <w:t>/202</w:t>
          </w:r>
          <w:r>
            <w:rPr>
              <w:rFonts w:eastAsia="Times New Roman"/>
              <w:sz w:val="22"/>
              <w:szCs w:val="22"/>
            </w:rPr>
            <w:t>3</w:t>
          </w:r>
        </w:p>
      </w:tc>
    </w:tr>
    <w:tr w:rsidR="00D43FF6" w:rsidRPr="00AA0421" w:rsidTr="00A475B8">
      <w:trPr>
        <w:cantSplit/>
        <w:trHeight w:val="343"/>
        <w:jc w:val="center"/>
      </w:trPr>
      <w:tc>
        <w:tcPr>
          <w:tcW w:w="11341" w:type="dxa"/>
          <w:gridSpan w:val="2"/>
          <w:shd w:val="clear" w:color="auto" w:fill="FFFFFF"/>
        </w:tcPr>
        <w:p w:rsidR="00D43FF6" w:rsidRPr="00597696" w:rsidRDefault="00D43FF6" w:rsidP="00D43FF6">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w:t>
          </w:r>
          <w:r>
            <w:rPr>
              <w:rFonts w:cs="Arial"/>
              <w:sz w:val="16"/>
              <w:szCs w:val="16"/>
            </w:rPr>
            <w:t>04</w:t>
          </w:r>
          <w:r w:rsidRPr="00597696">
            <w:rPr>
              <w:rFonts w:cs="Arial"/>
              <w:sz w:val="16"/>
              <w:szCs w:val="16"/>
            </w:rPr>
            <w:t>/202</w:t>
          </w:r>
          <w:r>
            <w:rPr>
              <w:rFonts w:cs="Arial"/>
              <w:sz w:val="16"/>
              <w:szCs w:val="16"/>
            </w:rPr>
            <w:t>3</w:t>
          </w:r>
        </w:p>
      </w:tc>
    </w:tr>
    <w:tr w:rsidR="00D43FF6" w:rsidRPr="00AA0421" w:rsidTr="00A475B8">
      <w:trPr>
        <w:cantSplit/>
        <w:trHeight w:val="477"/>
        <w:jc w:val="center"/>
      </w:trPr>
      <w:tc>
        <w:tcPr>
          <w:tcW w:w="5811" w:type="dxa"/>
          <w:shd w:val="clear" w:color="auto" w:fill="FFFFFF"/>
        </w:tcPr>
        <w:p w:rsidR="00D43FF6" w:rsidRPr="00597696" w:rsidRDefault="00D43FF6" w:rsidP="00D43FF6">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D43FF6" w:rsidRPr="00597696" w:rsidRDefault="00D43FF6" w:rsidP="00D43FF6">
          <w:pPr>
            <w:spacing w:after="120"/>
            <w:jc w:val="center"/>
            <w:rPr>
              <w:rFonts w:ascii="Arial" w:hAnsi="Arial" w:cs="Arial"/>
              <w:b/>
              <w:sz w:val="16"/>
              <w:szCs w:val="16"/>
            </w:rPr>
          </w:pPr>
          <w:r w:rsidRPr="00597696">
            <w:rPr>
              <w:rFonts w:ascii="Arial" w:hAnsi="Arial" w:cs="Arial"/>
              <w:b/>
              <w:sz w:val="16"/>
              <w:szCs w:val="16"/>
            </w:rPr>
            <w:t>REGISTRO DE PREÇOS 0</w:t>
          </w:r>
          <w:r>
            <w:rPr>
              <w:rFonts w:ascii="Arial" w:hAnsi="Arial" w:cs="Arial"/>
              <w:b/>
              <w:sz w:val="16"/>
              <w:szCs w:val="16"/>
            </w:rPr>
            <w:t>04</w:t>
          </w:r>
          <w:r w:rsidRPr="00597696">
            <w:rPr>
              <w:rFonts w:ascii="Arial" w:hAnsi="Arial" w:cs="Arial"/>
              <w:b/>
              <w:sz w:val="16"/>
              <w:szCs w:val="16"/>
            </w:rPr>
            <w:t>/202</w:t>
          </w:r>
          <w:r>
            <w:rPr>
              <w:rFonts w:ascii="Arial" w:hAnsi="Arial" w:cs="Arial"/>
              <w:b/>
              <w:sz w:val="16"/>
              <w:szCs w:val="16"/>
            </w:rPr>
            <w:t>3</w:t>
          </w:r>
        </w:p>
        <w:p w:rsidR="00D43FF6" w:rsidRPr="00190657" w:rsidRDefault="00D43FF6" w:rsidP="00D43FF6">
          <w:pPr>
            <w:spacing w:after="120"/>
            <w:jc w:val="both"/>
            <w:rPr>
              <w:rFonts w:ascii="Arial" w:hAnsi="Arial" w:cs="Arial"/>
              <w:b/>
              <w:sz w:val="18"/>
              <w:szCs w:val="18"/>
            </w:rPr>
          </w:pPr>
          <w:r w:rsidRPr="00190657">
            <w:rPr>
              <w:rFonts w:ascii="Arial" w:hAnsi="Arial" w:cs="Arial"/>
              <w:b/>
              <w:sz w:val="18"/>
              <w:szCs w:val="18"/>
              <w:lang w:val="pt-PT"/>
            </w:rPr>
            <w:t>AQUISIÇÃO DE MATERIAIS PARA DISTRIBUIÇÃO GRATUITA EM ATENDIMENTO A ASSISTENCIA SOCIAL, A SECRETARIA MUNICIPAL DE SAUDE E AO LAR SÃO VICENTE DE PAULO</w:t>
          </w:r>
        </w:p>
      </w:tc>
    </w:tr>
  </w:tbl>
  <w:p w:rsidR="00D43FF6" w:rsidRDefault="00D43FF6">
    <w:pPr>
      <w:pStyle w:val="Cabealho"/>
    </w:pPr>
  </w:p>
  <w:p w:rsidR="00D43FF6" w:rsidRDefault="00D43F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F6"/>
    <w:rsid w:val="0016525E"/>
    <w:rsid w:val="002D602F"/>
    <w:rsid w:val="0036470B"/>
    <w:rsid w:val="007D3942"/>
    <w:rsid w:val="00CE1CDE"/>
    <w:rsid w:val="00D43FF6"/>
    <w:rsid w:val="00DC0847"/>
    <w:rsid w:val="00EC4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E71A"/>
  <w15:chartTrackingRefBased/>
  <w15:docId w15:val="{858DA6C6-C44B-4636-BFFD-F474F48B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F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43FF6"/>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43FF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43FF6"/>
    <w:rPr>
      <w:rFonts w:ascii="Arial" w:eastAsia="Batang" w:hAnsi="Arial" w:cs="Arial"/>
      <w:lang w:val="pt-PT" w:eastAsia="pt-BR"/>
    </w:rPr>
  </w:style>
  <w:style w:type="paragraph" w:styleId="Cabealho">
    <w:name w:val="header"/>
    <w:basedOn w:val="Normal"/>
    <w:link w:val="CabealhoChar"/>
    <w:uiPriority w:val="99"/>
    <w:unhideWhenUsed/>
    <w:rsid w:val="00D43FF6"/>
    <w:pPr>
      <w:tabs>
        <w:tab w:val="center" w:pos="4252"/>
        <w:tab w:val="right" w:pos="8504"/>
      </w:tabs>
    </w:pPr>
  </w:style>
  <w:style w:type="character" w:customStyle="1" w:styleId="CabealhoChar">
    <w:name w:val="Cabeçalho Char"/>
    <w:basedOn w:val="Fontepargpadro"/>
    <w:link w:val="Cabealho"/>
    <w:uiPriority w:val="99"/>
    <w:rsid w:val="00D43FF6"/>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D43FF6"/>
    <w:pPr>
      <w:tabs>
        <w:tab w:val="center" w:pos="4252"/>
        <w:tab w:val="right" w:pos="8504"/>
      </w:tabs>
    </w:pPr>
  </w:style>
  <w:style w:type="character" w:customStyle="1" w:styleId="RodapChar">
    <w:name w:val="Rodapé Char"/>
    <w:basedOn w:val="Fontepargpadro"/>
    <w:link w:val="Rodap"/>
    <w:uiPriority w:val="99"/>
    <w:rsid w:val="00D43FF6"/>
    <w:rPr>
      <w:rFonts w:ascii="Times New Roman" w:eastAsia="Batang" w:hAnsi="Times New Roman" w:cs="Times New Roman"/>
      <w:sz w:val="20"/>
      <w:szCs w:val="20"/>
      <w:lang w:eastAsia="pt-BR"/>
    </w:rPr>
  </w:style>
  <w:style w:type="character" w:customStyle="1" w:styleId="Ttulo1Char">
    <w:name w:val="Título 1 Char"/>
    <w:basedOn w:val="Fontepargpadro"/>
    <w:link w:val="Ttulo1"/>
    <w:rsid w:val="00D43FF6"/>
    <w:rPr>
      <w:rFonts w:ascii="Arial" w:eastAsia="Batang" w:hAnsi="Arial" w:cs="Times New Roman"/>
      <w:b/>
      <w:sz w:val="24"/>
      <w:szCs w:val="20"/>
      <w:lang w:eastAsia="pt-BR"/>
    </w:rPr>
  </w:style>
  <w:style w:type="paragraph" w:styleId="PargrafodaLista">
    <w:name w:val="List Paragraph"/>
    <w:basedOn w:val="Normal"/>
    <w:uiPriority w:val="34"/>
    <w:qFormat/>
    <w:rsid w:val="00EC4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2151</Words>
  <Characters>11620</Characters>
  <Application>Microsoft Office Word</Application>
  <DocSecurity>0</DocSecurity>
  <Lines>96</Lines>
  <Paragraphs>27</Paragraphs>
  <ScaleCrop>false</ScaleCrop>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2023-02-02T17:01:00Z</dcterms:created>
  <dcterms:modified xsi:type="dcterms:W3CDTF">2023-02-02T17:12:00Z</dcterms:modified>
</cp:coreProperties>
</file>