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3457C0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3457C0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PROCESSO LICITATÓRIO Nº 0</w:t>
      </w:r>
      <w:r w:rsidR="00F37F90">
        <w:rPr>
          <w:b/>
          <w:bCs/>
          <w:color w:val="000000" w:themeColor="text1"/>
          <w:sz w:val="22"/>
          <w:szCs w:val="22"/>
        </w:rPr>
        <w:t>56</w:t>
      </w:r>
      <w:r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</w:p>
    <w:p w:rsidR="001C474A" w:rsidRPr="003457C0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 xml:space="preserve">DISPENSA Nº </w:t>
      </w:r>
      <w:r w:rsidR="003457C0" w:rsidRPr="003457C0">
        <w:rPr>
          <w:b/>
          <w:bCs/>
          <w:color w:val="000000" w:themeColor="text1"/>
          <w:sz w:val="22"/>
          <w:szCs w:val="22"/>
        </w:rPr>
        <w:t>01</w:t>
      </w:r>
      <w:r w:rsidR="00F37F90">
        <w:rPr>
          <w:b/>
          <w:bCs/>
          <w:color w:val="000000" w:themeColor="text1"/>
          <w:sz w:val="22"/>
          <w:szCs w:val="22"/>
        </w:rPr>
        <w:t>8</w:t>
      </w:r>
      <w:r w:rsidR="001C474A" w:rsidRPr="003457C0">
        <w:rPr>
          <w:b/>
          <w:bCs/>
          <w:color w:val="000000" w:themeColor="text1"/>
          <w:sz w:val="22"/>
          <w:szCs w:val="22"/>
        </w:rPr>
        <w:t>/202</w:t>
      </w:r>
      <w:r w:rsidR="00C84848" w:rsidRPr="003457C0">
        <w:rPr>
          <w:b/>
          <w:bCs/>
          <w:color w:val="000000" w:themeColor="text1"/>
          <w:sz w:val="22"/>
          <w:szCs w:val="22"/>
        </w:rPr>
        <w:t>1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3457C0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3457C0">
        <w:rPr>
          <w:b/>
          <w:color w:val="000000" w:themeColor="text1"/>
          <w:sz w:val="22"/>
          <w:szCs w:val="22"/>
        </w:rPr>
        <w:t>DECRETO 9.412/2018</w:t>
      </w:r>
      <w:r w:rsidR="00CD42D8" w:rsidRPr="003457C0">
        <w:rPr>
          <w:b/>
          <w:bCs/>
          <w:color w:val="000000" w:themeColor="text1"/>
          <w:sz w:val="22"/>
          <w:szCs w:val="22"/>
        </w:rPr>
        <w:t>.</w:t>
      </w:r>
    </w:p>
    <w:p w:rsidR="001C474A" w:rsidRPr="003457C0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EMENTA: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3457C0">
        <w:rPr>
          <w:color w:val="000000" w:themeColor="text1"/>
          <w:sz w:val="22"/>
          <w:szCs w:val="22"/>
        </w:rPr>
        <w:t xml:space="preserve">Dispensa de Licitação visando </w:t>
      </w:r>
      <w:r w:rsidR="00DD0048" w:rsidRPr="003457C0">
        <w:rPr>
          <w:color w:val="000000" w:themeColor="text1"/>
          <w:sz w:val="22"/>
          <w:szCs w:val="22"/>
        </w:rPr>
        <w:t xml:space="preserve">aquisição de </w:t>
      </w:r>
      <w:r w:rsidR="007F5782">
        <w:rPr>
          <w:color w:val="000000" w:themeColor="text1"/>
          <w:sz w:val="22"/>
          <w:szCs w:val="22"/>
        </w:rPr>
        <w:t>oxigênio medicinal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Pr="00F37F90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</w:t>
      </w:r>
      <w:r w:rsidRPr="00F37F90">
        <w:rPr>
          <w:rFonts w:ascii="Arial" w:hAnsi="Arial" w:cs="Arial"/>
          <w:sz w:val="22"/>
          <w:szCs w:val="22"/>
        </w:rPr>
        <w:t xml:space="preserve">contratação </w:t>
      </w:r>
      <w:r w:rsidR="00F84257" w:rsidRPr="00F37F90">
        <w:rPr>
          <w:rFonts w:ascii="Arial" w:hAnsi="Arial" w:cs="Arial"/>
          <w:sz w:val="22"/>
          <w:szCs w:val="22"/>
        </w:rPr>
        <w:t xml:space="preserve">é de </w:t>
      </w:r>
      <w:r w:rsidR="00F37F90" w:rsidRPr="00F37F90">
        <w:rPr>
          <w:rFonts w:ascii="Arial" w:hAnsi="Arial" w:cs="Arial"/>
          <w:b/>
          <w:sz w:val="22"/>
          <w:szCs w:val="22"/>
        </w:rPr>
        <w:t>R$ 17.05</w:t>
      </w:r>
      <w:r w:rsidR="00DD56F9" w:rsidRPr="00F37F90">
        <w:rPr>
          <w:rFonts w:ascii="Arial" w:hAnsi="Arial" w:cs="Arial"/>
          <w:b/>
          <w:sz w:val="22"/>
          <w:szCs w:val="22"/>
        </w:rPr>
        <w:t xml:space="preserve">0,00 (dezessete mil e </w:t>
      </w:r>
      <w:r w:rsidR="00F37F90" w:rsidRPr="00F37F90">
        <w:rPr>
          <w:rFonts w:ascii="Arial" w:hAnsi="Arial" w:cs="Arial"/>
          <w:b/>
          <w:sz w:val="22"/>
          <w:szCs w:val="22"/>
        </w:rPr>
        <w:t>cinquenta</w:t>
      </w:r>
      <w:r w:rsidR="00DD56F9" w:rsidRPr="00F37F90">
        <w:rPr>
          <w:rFonts w:ascii="Arial" w:hAnsi="Arial" w:cs="Arial"/>
          <w:b/>
          <w:sz w:val="22"/>
          <w:szCs w:val="22"/>
        </w:rPr>
        <w:t xml:space="preserve"> reais), </w:t>
      </w:r>
      <w:r w:rsidR="00DD56F9" w:rsidRPr="00F37F90">
        <w:rPr>
          <w:rFonts w:ascii="Arial" w:hAnsi="Arial" w:cs="Arial"/>
          <w:sz w:val="22"/>
          <w:szCs w:val="22"/>
        </w:rPr>
        <w:t>ofertados pela empresa</w:t>
      </w:r>
      <w:r w:rsidR="00DD56F9" w:rsidRPr="00F37F90">
        <w:rPr>
          <w:rFonts w:ascii="Arial" w:hAnsi="Arial" w:cs="Arial"/>
          <w:b/>
          <w:sz w:val="22"/>
          <w:szCs w:val="22"/>
        </w:rPr>
        <w:t xml:space="preserve"> </w:t>
      </w:r>
      <w:r w:rsidR="00F37F90" w:rsidRPr="00F37F90">
        <w:rPr>
          <w:rFonts w:ascii="Arial" w:hAnsi="Arial" w:cs="Arial"/>
          <w:sz w:val="24"/>
          <w:szCs w:val="24"/>
        </w:rPr>
        <w:t>CARNEVALE E MARTINS LTDA, pessoa jurídica de direito privado inscrita no CNPJ nº 14.840.407/0001-31, com sede na Av. Governador Bias Fortes, nº 1059, Bairro Pontilhão, Barbacena, Minas Gerais, CEP: 36.204-168</w:t>
      </w:r>
      <w:r w:rsidR="00ED4BF4" w:rsidRPr="00F37F90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 - ...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8E7852" w:rsidRDefault="00B6241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441B50">
        <w:rPr>
          <w:rFonts w:ascii="Arial" w:hAnsi="Arial" w:cs="Arial"/>
          <w:sz w:val="22"/>
          <w:szCs w:val="22"/>
        </w:rPr>
        <w:t xml:space="preserve">aquisição de </w:t>
      </w:r>
      <w:r w:rsidR="00F54B8B">
        <w:rPr>
          <w:rFonts w:ascii="Arial" w:hAnsi="Arial" w:cs="Arial"/>
          <w:sz w:val="22"/>
          <w:szCs w:val="22"/>
        </w:rPr>
        <w:t>oxigênio medicinal em favor dos</w:t>
      </w:r>
      <w:r w:rsidR="000F7562">
        <w:rPr>
          <w:rFonts w:ascii="Arial" w:hAnsi="Arial" w:cs="Arial"/>
          <w:sz w:val="22"/>
          <w:szCs w:val="22"/>
        </w:rPr>
        <w:t xml:space="preserve"> paciente</w:t>
      </w:r>
      <w:r w:rsidR="00F54B8B">
        <w:rPr>
          <w:rFonts w:ascii="Arial" w:hAnsi="Arial" w:cs="Arial"/>
          <w:sz w:val="22"/>
          <w:szCs w:val="22"/>
        </w:rPr>
        <w:t>s da Unidade Básica do Município, que visa garantir</w:t>
      </w:r>
      <w:r w:rsidR="000F7562">
        <w:rPr>
          <w:rFonts w:ascii="Arial" w:hAnsi="Arial" w:cs="Arial"/>
          <w:sz w:val="22"/>
          <w:szCs w:val="22"/>
        </w:rPr>
        <w:t xml:space="preserve"> que </w:t>
      </w:r>
      <w:r w:rsidR="00B20133" w:rsidRPr="00B20133">
        <w:rPr>
          <w:rFonts w:ascii="Arial" w:hAnsi="Arial" w:cs="Arial"/>
          <w:sz w:val="22"/>
          <w:szCs w:val="22"/>
        </w:rPr>
        <w:t xml:space="preserve">os sintomas </w:t>
      </w:r>
      <w:r w:rsidR="00B20133">
        <w:rPr>
          <w:rFonts w:ascii="Arial" w:hAnsi="Arial" w:cs="Arial"/>
          <w:sz w:val="22"/>
          <w:szCs w:val="22"/>
        </w:rPr>
        <w:t xml:space="preserve">dos pacientes </w:t>
      </w:r>
      <w:r w:rsidR="00232CED">
        <w:rPr>
          <w:rFonts w:ascii="Arial" w:hAnsi="Arial" w:cs="Arial"/>
          <w:sz w:val="22"/>
          <w:szCs w:val="22"/>
        </w:rPr>
        <w:t xml:space="preserve">não </w:t>
      </w:r>
      <w:r w:rsidR="00B20133" w:rsidRPr="00B20133">
        <w:rPr>
          <w:rFonts w:ascii="Arial" w:hAnsi="Arial" w:cs="Arial"/>
          <w:sz w:val="22"/>
          <w:szCs w:val="22"/>
        </w:rPr>
        <w:t xml:space="preserve">evoluam para o quadro de fadiga respiratória, sendo </w:t>
      </w:r>
      <w:r w:rsidR="00B20133">
        <w:rPr>
          <w:rFonts w:ascii="Arial" w:hAnsi="Arial" w:cs="Arial"/>
          <w:sz w:val="22"/>
          <w:szCs w:val="22"/>
        </w:rPr>
        <w:t>necessário deslocar o paciente</w:t>
      </w:r>
      <w:r w:rsidR="00B20133" w:rsidRPr="00B20133">
        <w:rPr>
          <w:rFonts w:ascii="Arial" w:hAnsi="Arial" w:cs="Arial"/>
          <w:sz w:val="22"/>
          <w:szCs w:val="22"/>
        </w:rPr>
        <w:t xml:space="preserve"> para hospital de referência da região para proceder a ventilação mecânica</w:t>
      </w:r>
      <w:r w:rsidR="00B4712B">
        <w:rPr>
          <w:rFonts w:ascii="Arial" w:hAnsi="Arial" w:cs="Arial"/>
          <w:sz w:val="22"/>
          <w:szCs w:val="22"/>
        </w:rPr>
        <w:t xml:space="preserve">. Além disso, a aquisição vai beneficiar os </w:t>
      </w:r>
      <w:r w:rsidR="00B20133" w:rsidRPr="00B20133">
        <w:rPr>
          <w:rFonts w:ascii="Arial" w:hAnsi="Arial" w:cs="Arial"/>
          <w:sz w:val="22"/>
          <w:szCs w:val="22"/>
        </w:rPr>
        <w:t>pacientes em tratamento paliativo</w:t>
      </w:r>
      <w:r w:rsidR="00E43043">
        <w:rPr>
          <w:rFonts w:ascii="Arial" w:hAnsi="Arial" w:cs="Arial"/>
          <w:sz w:val="22"/>
          <w:szCs w:val="22"/>
        </w:rPr>
        <w:t xml:space="preserve"> que são orientados pelos médicos </w:t>
      </w:r>
      <w:r w:rsidR="00E43043">
        <w:rPr>
          <w:rFonts w:ascii="Arial" w:hAnsi="Arial" w:cs="Arial"/>
          <w:sz w:val="21"/>
          <w:szCs w:val="21"/>
        </w:rPr>
        <w:t xml:space="preserve">a permanecerem em suas residências, com o objetivo de </w:t>
      </w:r>
      <w:r w:rsidR="00E43043" w:rsidRPr="000A1A6E">
        <w:rPr>
          <w:rFonts w:ascii="Arial" w:hAnsi="Arial" w:cs="Arial"/>
          <w:sz w:val="21"/>
          <w:szCs w:val="21"/>
        </w:rPr>
        <w:t>promover a</w:t>
      </w:r>
      <w:r w:rsidR="00C77DB8">
        <w:rPr>
          <w:rFonts w:ascii="Arial" w:hAnsi="Arial" w:cs="Arial"/>
          <w:sz w:val="21"/>
          <w:szCs w:val="21"/>
        </w:rPr>
        <w:t xml:space="preserve"> sua</w:t>
      </w:r>
      <w:r w:rsidR="00E43043" w:rsidRPr="000A1A6E">
        <w:rPr>
          <w:rFonts w:ascii="Arial" w:hAnsi="Arial" w:cs="Arial"/>
          <w:sz w:val="21"/>
          <w:szCs w:val="21"/>
        </w:rPr>
        <w:t xml:space="preserve"> qualidade de vida </w:t>
      </w:r>
      <w:r w:rsidR="00C77DB8">
        <w:rPr>
          <w:rFonts w:ascii="Arial" w:hAnsi="Arial" w:cs="Arial"/>
          <w:sz w:val="21"/>
          <w:szCs w:val="21"/>
        </w:rPr>
        <w:t>e de</w:t>
      </w:r>
      <w:r w:rsidR="00E43043" w:rsidRPr="000A1A6E">
        <w:rPr>
          <w:rFonts w:ascii="Arial" w:hAnsi="Arial" w:cs="Arial"/>
          <w:sz w:val="21"/>
          <w:szCs w:val="21"/>
        </w:rPr>
        <w:t xml:space="preserve"> seus familiares por meio de prevenção e alívio do sofrimento</w:t>
      </w:r>
      <w:r w:rsidR="00E43043">
        <w:rPr>
          <w:rFonts w:ascii="Arial" w:hAnsi="Arial" w:cs="Arial"/>
          <w:sz w:val="21"/>
          <w:szCs w:val="21"/>
        </w:rPr>
        <w:t>.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0D3AA9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2) </w:t>
      </w:r>
      <w:r w:rsidR="00F50EFD" w:rsidRPr="000D3AA9">
        <w:rPr>
          <w:i/>
          <w:sz w:val="22"/>
          <w:szCs w:val="22"/>
        </w:rPr>
        <w:t xml:space="preserve">Comprovante de Inscrição </w:t>
      </w:r>
      <w:r w:rsidR="00461105">
        <w:rPr>
          <w:i/>
          <w:sz w:val="22"/>
          <w:szCs w:val="22"/>
        </w:rPr>
        <w:t>Municipal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3)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4)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5)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 Certidão Trabalhista;</w:t>
      </w:r>
      <w:bookmarkStart w:id="3" w:name="_GoBack"/>
      <w:bookmarkEnd w:id="3"/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 xml:space="preserve">8)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 xml:space="preserve">09) </w:t>
      </w:r>
      <w:r w:rsidR="00461105">
        <w:rPr>
          <w:i/>
          <w:sz w:val="22"/>
          <w:szCs w:val="22"/>
        </w:rPr>
        <w:t>Certificado da Condição de Microempreendedor Individual</w:t>
      </w:r>
      <w:r w:rsidRPr="000D3AA9">
        <w:rPr>
          <w:i/>
          <w:sz w:val="22"/>
          <w:szCs w:val="22"/>
        </w:rPr>
        <w:t>;</w:t>
      </w:r>
    </w:p>
    <w:p w:rsidR="001C474A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 xml:space="preserve">)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EA6738" w:rsidRPr="000D3AA9" w:rsidRDefault="00EA6738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11)</w:t>
      </w:r>
      <w:proofErr w:type="gramEnd"/>
      <w:r>
        <w:rPr>
          <w:i/>
          <w:sz w:val="22"/>
          <w:szCs w:val="22"/>
        </w:rPr>
        <w:t xml:space="preserve"> Certidão de Consulta Consolidada de Pessoa Jurídica </w:t>
      </w:r>
      <w:r w:rsidR="00D21582">
        <w:rPr>
          <w:i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F37F90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F37F90">
        <w:rPr>
          <w:rFonts w:ascii="Arial" w:hAnsi="Arial" w:cs="Arial"/>
          <w:sz w:val="22"/>
          <w:szCs w:val="22"/>
        </w:rPr>
        <w:t xml:space="preserve">Desterro do Melo, </w:t>
      </w:r>
      <w:r w:rsidR="00F37F90" w:rsidRPr="00F37F90">
        <w:rPr>
          <w:rFonts w:ascii="Arial" w:hAnsi="Arial" w:cs="Arial"/>
          <w:sz w:val="22"/>
          <w:szCs w:val="22"/>
        </w:rPr>
        <w:t>0</w:t>
      </w:r>
      <w:r w:rsidR="003457C0" w:rsidRPr="00F37F90">
        <w:rPr>
          <w:rFonts w:ascii="Arial" w:hAnsi="Arial" w:cs="Arial"/>
          <w:sz w:val="22"/>
          <w:szCs w:val="22"/>
        </w:rPr>
        <w:t>9</w:t>
      </w:r>
      <w:r w:rsidR="001C474A" w:rsidRPr="00F37F90">
        <w:rPr>
          <w:rFonts w:ascii="Arial" w:hAnsi="Arial" w:cs="Arial"/>
          <w:sz w:val="22"/>
          <w:szCs w:val="22"/>
        </w:rPr>
        <w:t xml:space="preserve"> de </w:t>
      </w:r>
      <w:r w:rsidR="00F37F90" w:rsidRPr="00F37F90">
        <w:rPr>
          <w:rFonts w:ascii="Arial" w:hAnsi="Arial" w:cs="Arial"/>
          <w:sz w:val="22"/>
          <w:szCs w:val="22"/>
        </w:rPr>
        <w:t>setembro</w:t>
      </w:r>
      <w:r w:rsidR="001C474A" w:rsidRPr="00F37F90">
        <w:rPr>
          <w:rFonts w:ascii="Arial" w:hAnsi="Arial" w:cs="Arial"/>
          <w:sz w:val="22"/>
          <w:szCs w:val="22"/>
        </w:rPr>
        <w:t xml:space="preserve"> de 202</w:t>
      </w:r>
      <w:r w:rsidRPr="00F37F90">
        <w:rPr>
          <w:rFonts w:ascii="Arial" w:hAnsi="Arial" w:cs="Arial"/>
          <w:sz w:val="22"/>
          <w:szCs w:val="22"/>
        </w:rPr>
        <w:t>1</w:t>
      </w:r>
      <w:r w:rsidR="001C474A" w:rsidRPr="00F37F90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0D3AA9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45" w:rsidRDefault="00E41F45">
      <w:r>
        <w:separator/>
      </w:r>
    </w:p>
  </w:endnote>
  <w:endnote w:type="continuationSeparator" w:id="0">
    <w:p w:rsidR="00E41F45" w:rsidRDefault="00E4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45" w:rsidRDefault="00E41F45">
      <w:r>
        <w:separator/>
      </w:r>
    </w:p>
  </w:footnote>
  <w:footnote w:type="continuationSeparator" w:id="0">
    <w:p w:rsidR="00E41F45" w:rsidRDefault="00E4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69E3"/>
    <w:rsid w:val="000F7562"/>
    <w:rsid w:val="0010051A"/>
    <w:rsid w:val="001007C7"/>
    <w:rsid w:val="0013240B"/>
    <w:rsid w:val="001632A3"/>
    <w:rsid w:val="001857ED"/>
    <w:rsid w:val="0019381E"/>
    <w:rsid w:val="001A61B1"/>
    <w:rsid w:val="001A6D49"/>
    <w:rsid w:val="001C474A"/>
    <w:rsid w:val="001C5D7C"/>
    <w:rsid w:val="002159B5"/>
    <w:rsid w:val="00232CED"/>
    <w:rsid w:val="00244C19"/>
    <w:rsid w:val="00264C3F"/>
    <w:rsid w:val="002D73B6"/>
    <w:rsid w:val="002E5CA4"/>
    <w:rsid w:val="002F69A2"/>
    <w:rsid w:val="0030339A"/>
    <w:rsid w:val="0030545C"/>
    <w:rsid w:val="00306457"/>
    <w:rsid w:val="003457C0"/>
    <w:rsid w:val="0037316F"/>
    <w:rsid w:val="003C4682"/>
    <w:rsid w:val="003E26F6"/>
    <w:rsid w:val="003F4633"/>
    <w:rsid w:val="00432AA8"/>
    <w:rsid w:val="00441B50"/>
    <w:rsid w:val="00461105"/>
    <w:rsid w:val="0049129D"/>
    <w:rsid w:val="00496EAF"/>
    <w:rsid w:val="004A4ABA"/>
    <w:rsid w:val="004F0FCB"/>
    <w:rsid w:val="0051498D"/>
    <w:rsid w:val="0053619B"/>
    <w:rsid w:val="005A5F32"/>
    <w:rsid w:val="005D0D47"/>
    <w:rsid w:val="006354A6"/>
    <w:rsid w:val="00641DB8"/>
    <w:rsid w:val="00655F1E"/>
    <w:rsid w:val="00663573"/>
    <w:rsid w:val="0067432E"/>
    <w:rsid w:val="006805DE"/>
    <w:rsid w:val="006C0385"/>
    <w:rsid w:val="006D4057"/>
    <w:rsid w:val="006D6671"/>
    <w:rsid w:val="007322EF"/>
    <w:rsid w:val="00740AD7"/>
    <w:rsid w:val="0079077D"/>
    <w:rsid w:val="007B2249"/>
    <w:rsid w:val="007C7A56"/>
    <w:rsid w:val="007F5782"/>
    <w:rsid w:val="008477D2"/>
    <w:rsid w:val="00864C9D"/>
    <w:rsid w:val="00885F5B"/>
    <w:rsid w:val="008C1207"/>
    <w:rsid w:val="008E0D11"/>
    <w:rsid w:val="008E3318"/>
    <w:rsid w:val="008E7852"/>
    <w:rsid w:val="00956A9E"/>
    <w:rsid w:val="00985586"/>
    <w:rsid w:val="00996A5D"/>
    <w:rsid w:val="009C2EE0"/>
    <w:rsid w:val="009E7AAE"/>
    <w:rsid w:val="00A0608B"/>
    <w:rsid w:val="00AA7E83"/>
    <w:rsid w:val="00AC3BDE"/>
    <w:rsid w:val="00B20133"/>
    <w:rsid w:val="00B4369D"/>
    <w:rsid w:val="00B4712B"/>
    <w:rsid w:val="00B552CA"/>
    <w:rsid w:val="00B62412"/>
    <w:rsid w:val="00B649F6"/>
    <w:rsid w:val="00C15B32"/>
    <w:rsid w:val="00C51924"/>
    <w:rsid w:val="00C640C8"/>
    <w:rsid w:val="00C77DB8"/>
    <w:rsid w:val="00C84848"/>
    <w:rsid w:val="00CA04AC"/>
    <w:rsid w:val="00CA1A9C"/>
    <w:rsid w:val="00CB46C5"/>
    <w:rsid w:val="00CD42D8"/>
    <w:rsid w:val="00CF6CA5"/>
    <w:rsid w:val="00D105E1"/>
    <w:rsid w:val="00D114ED"/>
    <w:rsid w:val="00D13605"/>
    <w:rsid w:val="00D21582"/>
    <w:rsid w:val="00D42DAA"/>
    <w:rsid w:val="00D52C80"/>
    <w:rsid w:val="00D93777"/>
    <w:rsid w:val="00DA00A2"/>
    <w:rsid w:val="00DB393B"/>
    <w:rsid w:val="00DB7009"/>
    <w:rsid w:val="00DC5FB4"/>
    <w:rsid w:val="00DD0048"/>
    <w:rsid w:val="00DD56F9"/>
    <w:rsid w:val="00DD7687"/>
    <w:rsid w:val="00E30F62"/>
    <w:rsid w:val="00E41F45"/>
    <w:rsid w:val="00E43043"/>
    <w:rsid w:val="00E93C5D"/>
    <w:rsid w:val="00E95977"/>
    <w:rsid w:val="00EA6738"/>
    <w:rsid w:val="00ED4BF4"/>
    <w:rsid w:val="00EE6640"/>
    <w:rsid w:val="00F37F90"/>
    <w:rsid w:val="00F50EFD"/>
    <w:rsid w:val="00F54B8B"/>
    <w:rsid w:val="00F65215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103</cp:revision>
  <cp:lastPrinted>2021-09-10T10:27:00Z</cp:lastPrinted>
  <dcterms:created xsi:type="dcterms:W3CDTF">2020-01-13T16:59:00Z</dcterms:created>
  <dcterms:modified xsi:type="dcterms:W3CDTF">2021-09-10T10:27:00Z</dcterms:modified>
</cp:coreProperties>
</file>