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22" w:rsidRPr="00D329E2" w:rsidRDefault="001D0522" w:rsidP="00D329E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329E2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D0522" w:rsidRPr="00D329E2" w:rsidRDefault="001D0522" w:rsidP="00D329E2">
      <w:pPr>
        <w:pStyle w:val="Default"/>
        <w:spacing w:line="360" w:lineRule="auto"/>
        <w:jc w:val="center"/>
        <w:rPr>
          <w:b/>
          <w:bCs/>
        </w:rPr>
      </w:pPr>
      <w:r w:rsidRPr="00D329E2">
        <w:rPr>
          <w:b/>
          <w:bCs/>
        </w:rPr>
        <w:t>COMISSÃO PERMANENTE DE LICITAÇÕES</w:t>
      </w:r>
    </w:p>
    <w:p w:rsidR="001D0522" w:rsidRPr="00D329E2" w:rsidRDefault="001D0522" w:rsidP="00D329E2">
      <w:pPr>
        <w:pStyle w:val="Default"/>
        <w:spacing w:line="360" w:lineRule="auto"/>
        <w:jc w:val="center"/>
        <w:rPr>
          <w:b/>
          <w:bCs/>
          <w:u w:val="single"/>
        </w:rPr>
      </w:pPr>
      <w:r w:rsidRPr="00D329E2">
        <w:rPr>
          <w:b/>
          <w:bCs/>
          <w:u w:val="single"/>
        </w:rPr>
        <w:t>PARECER DE DISPENSA DE LICITAÇÃO</w:t>
      </w:r>
    </w:p>
    <w:p w:rsidR="00D329E2" w:rsidRDefault="00D329E2" w:rsidP="00D329E2">
      <w:pPr>
        <w:pStyle w:val="Default"/>
        <w:spacing w:line="360" w:lineRule="auto"/>
        <w:jc w:val="both"/>
        <w:rPr>
          <w:b/>
          <w:bCs/>
        </w:rPr>
      </w:pPr>
    </w:p>
    <w:p w:rsidR="001D0522" w:rsidRPr="00D329E2" w:rsidRDefault="001D0522" w:rsidP="00D329E2">
      <w:pPr>
        <w:pStyle w:val="Default"/>
        <w:spacing w:line="360" w:lineRule="auto"/>
        <w:jc w:val="both"/>
        <w:rPr>
          <w:b/>
          <w:bCs/>
        </w:rPr>
      </w:pPr>
      <w:r w:rsidRPr="00D329E2">
        <w:rPr>
          <w:b/>
          <w:bCs/>
        </w:rPr>
        <w:t>PROCESSO LICITATÓRIO Nº 37</w:t>
      </w:r>
      <w:r w:rsidRPr="00D329E2">
        <w:rPr>
          <w:b/>
          <w:bCs/>
        </w:rPr>
        <w:t>/2020</w:t>
      </w:r>
    </w:p>
    <w:p w:rsidR="001D0522" w:rsidRPr="00D329E2" w:rsidRDefault="001D0522" w:rsidP="00D329E2">
      <w:pPr>
        <w:pStyle w:val="Default"/>
        <w:spacing w:line="360" w:lineRule="auto"/>
        <w:jc w:val="both"/>
        <w:rPr>
          <w:b/>
          <w:bCs/>
        </w:rPr>
      </w:pPr>
      <w:r w:rsidRPr="00D329E2">
        <w:rPr>
          <w:b/>
          <w:bCs/>
        </w:rPr>
        <w:t>DISPENSA Nº 015</w:t>
      </w:r>
      <w:r w:rsidRPr="00D329E2">
        <w:rPr>
          <w:b/>
          <w:bCs/>
        </w:rPr>
        <w:t>/2020</w:t>
      </w:r>
      <w:r w:rsidRPr="00D329E2">
        <w:rPr>
          <w:b/>
          <w:bCs/>
        </w:rPr>
        <w:t xml:space="preserve"> – ART. 24, INC. IV</w:t>
      </w:r>
      <w:r w:rsidRPr="00D329E2">
        <w:rPr>
          <w:b/>
          <w:bCs/>
        </w:rPr>
        <w:t xml:space="preserve"> DA LEI 8.666/93</w:t>
      </w:r>
      <w:r w:rsidR="00D329E2">
        <w:rPr>
          <w:b/>
          <w:bCs/>
        </w:rPr>
        <w:t>.</w:t>
      </w:r>
    </w:p>
    <w:p w:rsidR="001D0522" w:rsidRPr="00D329E2" w:rsidRDefault="001D0522" w:rsidP="00D329E2">
      <w:pPr>
        <w:spacing w:line="360" w:lineRule="auto"/>
        <w:ind w:right="-8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329E2">
        <w:rPr>
          <w:rFonts w:ascii="Arial" w:hAnsi="Arial" w:cs="Arial"/>
          <w:b/>
          <w:bCs/>
          <w:sz w:val="24"/>
          <w:szCs w:val="24"/>
        </w:rPr>
        <w:t>EMENTA :</w:t>
      </w:r>
      <w:proofErr w:type="gramEnd"/>
      <w:r w:rsidRPr="00D329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29E2">
        <w:rPr>
          <w:rFonts w:ascii="Arial" w:hAnsi="Arial" w:cs="Arial"/>
          <w:b/>
          <w:sz w:val="24"/>
          <w:szCs w:val="24"/>
        </w:rPr>
        <w:t xml:space="preserve">AQUISIÇÃO DE MATERIAIS E </w:t>
      </w:r>
      <w:r w:rsidRPr="00D329E2">
        <w:rPr>
          <w:rFonts w:ascii="Arial" w:hAnsi="Arial" w:cs="Arial"/>
          <w:b/>
          <w:sz w:val="24"/>
          <w:szCs w:val="24"/>
        </w:rPr>
        <w:t xml:space="preserve">EPIs PARA PREVENÇÃO AO </w:t>
      </w:r>
      <w:r w:rsidRPr="00D329E2">
        <w:rPr>
          <w:rFonts w:ascii="Arial" w:hAnsi="Arial" w:cs="Arial"/>
          <w:b/>
          <w:sz w:val="24"/>
          <w:szCs w:val="24"/>
        </w:rPr>
        <w:t>COVID19.</w:t>
      </w:r>
    </w:p>
    <w:p w:rsidR="001D0522" w:rsidRPr="00D329E2" w:rsidRDefault="001D0522" w:rsidP="00D329E2">
      <w:pPr>
        <w:pStyle w:val="Default"/>
        <w:spacing w:line="360" w:lineRule="auto"/>
        <w:jc w:val="both"/>
        <w:rPr>
          <w:bCs/>
        </w:rPr>
      </w:pPr>
    </w:p>
    <w:p w:rsidR="001D0522" w:rsidRPr="00D329E2" w:rsidRDefault="001D0522" w:rsidP="00D329E2">
      <w:pPr>
        <w:pStyle w:val="Default"/>
        <w:spacing w:before="240" w:after="240" w:line="360" w:lineRule="auto"/>
        <w:ind w:firstLine="1701"/>
        <w:jc w:val="both"/>
        <w:rPr>
          <w:bCs/>
        </w:rPr>
      </w:pPr>
      <w:r w:rsidRPr="00D329E2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1D0522" w:rsidRPr="00D329E2" w:rsidRDefault="001D0522" w:rsidP="00D329E2">
      <w:pPr>
        <w:autoSpaceDE w:val="0"/>
        <w:autoSpaceDN w:val="0"/>
        <w:adjustRightInd w:val="0"/>
        <w:spacing w:before="240" w:after="24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D329E2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D329E2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D329E2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1D0522" w:rsidRPr="00D329E2" w:rsidRDefault="001D0522" w:rsidP="00D329E2">
      <w:pPr>
        <w:spacing w:before="240" w:after="240" w:line="360" w:lineRule="auto"/>
        <w:ind w:right="-79" w:firstLine="1701"/>
        <w:jc w:val="both"/>
        <w:rPr>
          <w:rFonts w:ascii="Arial" w:hAnsi="Arial" w:cs="Arial"/>
          <w:b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dos itens foi de R$ </w:t>
      </w:r>
      <w:r w:rsidRPr="00D329E2">
        <w:rPr>
          <w:rFonts w:ascii="Arial" w:hAnsi="Arial" w:cs="Arial"/>
          <w:sz w:val="24"/>
          <w:szCs w:val="24"/>
        </w:rPr>
        <w:t>32.600,00</w:t>
      </w:r>
      <w:r w:rsidRPr="00D329E2">
        <w:rPr>
          <w:rFonts w:ascii="Arial" w:hAnsi="Arial" w:cs="Arial"/>
          <w:sz w:val="24"/>
          <w:szCs w:val="24"/>
        </w:rPr>
        <w:t xml:space="preserve"> (</w:t>
      </w:r>
      <w:r w:rsidRPr="00D329E2">
        <w:rPr>
          <w:rFonts w:ascii="Arial" w:hAnsi="Arial" w:cs="Arial"/>
          <w:sz w:val="24"/>
          <w:szCs w:val="24"/>
        </w:rPr>
        <w:t>trinta e dois mil e seiscentos reais</w:t>
      </w:r>
      <w:r w:rsidRPr="00D329E2">
        <w:rPr>
          <w:rFonts w:ascii="Arial" w:hAnsi="Arial" w:cs="Arial"/>
          <w:sz w:val="24"/>
          <w:szCs w:val="24"/>
        </w:rPr>
        <w:t>)</w:t>
      </w:r>
      <w:r w:rsidRPr="00D329E2">
        <w:rPr>
          <w:rFonts w:ascii="Arial" w:hAnsi="Arial" w:cs="Arial"/>
          <w:b/>
          <w:sz w:val="24"/>
          <w:szCs w:val="24"/>
        </w:rPr>
        <w:t>.</w:t>
      </w:r>
    </w:p>
    <w:p w:rsidR="001D0522" w:rsidRPr="00D329E2" w:rsidRDefault="001D0522" w:rsidP="00D329E2">
      <w:pPr>
        <w:spacing w:before="240" w:after="240"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A empresa </w:t>
      </w:r>
      <w:r w:rsidRPr="00D329E2">
        <w:rPr>
          <w:rFonts w:ascii="Arial" w:hAnsi="Arial" w:cs="Arial"/>
          <w:b/>
          <w:sz w:val="24"/>
          <w:szCs w:val="24"/>
        </w:rPr>
        <w:t xml:space="preserve">DISTRIMAR EIRELI ME </w:t>
      </w:r>
      <w:r w:rsidRPr="00D329E2">
        <w:rPr>
          <w:rFonts w:ascii="Arial" w:hAnsi="Arial" w:cs="Arial"/>
          <w:sz w:val="24"/>
          <w:szCs w:val="24"/>
        </w:rPr>
        <w:t>– pessoa jurídica de direito privado inscrita</w:t>
      </w:r>
      <w:r w:rsidRPr="00D329E2">
        <w:rPr>
          <w:rFonts w:ascii="Arial" w:hAnsi="Arial" w:cs="Arial"/>
          <w:b/>
          <w:sz w:val="24"/>
          <w:szCs w:val="24"/>
        </w:rPr>
        <w:t xml:space="preserve"> </w:t>
      </w:r>
      <w:r w:rsidRPr="00D329E2">
        <w:rPr>
          <w:rFonts w:ascii="Arial" w:hAnsi="Arial" w:cs="Arial"/>
          <w:sz w:val="24"/>
          <w:szCs w:val="24"/>
        </w:rPr>
        <w:t xml:space="preserve">no CNPJ nº 04.229.515/0001-19, com sede à Avenida dos Andradas, nº 1136, </w:t>
      </w:r>
      <w:proofErr w:type="spellStart"/>
      <w:r w:rsidRPr="00D329E2">
        <w:rPr>
          <w:rFonts w:ascii="Arial" w:hAnsi="Arial" w:cs="Arial"/>
          <w:sz w:val="24"/>
          <w:szCs w:val="24"/>
        </w:rPr>
        <w:t>Lj</w:t>
      </w:r>
      <w:proofErr w:type="spellEnd"/>
      <w:r w:rsidRPr="00D329E2">
        <w:rPr>
          <w:rFonts w:ascii="Arial" w:hAnsi="Arial" w:cs="Arial"/>
          <w:sz w:val="24"/>
          <w:szCs w:val="24"/>
        </w:rPr>
        <w:t xml:space="preserve"> 06, Bairro Morro da Glória, Juiz de Fora, Minas Gerais, CEP: 36.035-120</w:t>
      </w:r>
      <w:proofErr w:type="gramStart"/>
      <w:r w:rsidRPr="00D329E2">
        <w:rPr>
          <w:rFonts w:ascii="Arial" w:hAnsi="Arial" w:cs="Arial"/>
          <w:sz w:val="24"/>
          <w:szCs w:val="24"/>
        </w:rPr>
        <w:t>, foi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vencedora com menor preço para </w:t>
      </w:r>
      <w:r w:rsidR="00573755" w:rsidRPr="00D329E2">
        <w:rPr>
          <w:rFonts w:ascii="Arial" w:hAnsi="Arial" w:cs="Arial"/>
          <w:sz w:val="24"/>
          <w:szCs w:val="24"/>
        </w:rPr>
        <w:t>aquisição do item 05</w:t>
      </w:r>
      <w:r w:rsidRPr="00D329E2">
        <w:rPr>
          <w:rFonts w:ascii="Arial" w:hAnsi="Arial" w:cs="Arial"/>
          <w:sz w:val="24"/>
          <w:szCs w:val="24"/>
        </w:rPr>
        <w:t xml:space="preserve"> com valor total de R$ </w:t>
      </w:r>
      <w:r w:rsidR="00573755" w:rsidRPr="00D329E2">
        <w:rPr>
          <w:rFonts w:ascii="Arial" w:hAnsi="Arial" w:cs="Arial"/>
          <w:sz w:val="24"/>
          <w:szCs w:val="24"/>
        </w:rPr>
        <w:t>2.100</w:t>
      </w:r>
      <w:r w:rsidRPr="00D329E2">
        <w:rPr>
          <w:rFonts w:ascii="Arial" w:hAnsi="Arial" w:cs="Arial"/>
          <w:sz w:val="24"/>
          <w:szCs w:val="24"/>
        </w:rPr>
        <w:t>,00 (</w:t>
      </w:r>
      <w:r w:rsidR="00573755" w:rsidRPr="00D329E2">
        <w:rPr>
          <w:rFonts w:ascii="Arial" w:hAnsi="Arial" w:cs="Arial"/>
          <w:sz w:val="24"/>
          <w:szCs w:val="24"/>
        </w:rPr>
        <w:t>dois mil e cem</w:t>
      </w:r>
      <w:r w:rsidRPr="00D329E2">
        <w:rPr>
          <w:rFonts w:ascii="Arial" w:hAnsi="Arial" w:cs="Arial"/>
          <w:sz w:val="24"/>
          <w:szCs w:val="24"/>
        </w:rPr>
        <w:t xml:space="preserve"> reais).</w:t>
      </w:r>
    </w:p>
    <w:p w:rsidR="001D0522" w:rsidRPr="00D329E2" w:rsidRDefault="001D0522" w:rsidP="00D329E2">
      <w:pPr>
        <w:spacing w:before="240" w:after="240"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A empresa </w:t>
      </w:r>
      <w:r w:rsidR="00573755" w:rsidRPr="00D329E2">
        <w:rPr>
          <w:rFonts w:ascii="Arial" w:hAnsi="Arial" w:cs="Arial"/>
          <w:b/>
          <w:sz w:val="24"/>
          <w:szCs w:val="24"/>
        </w:rPr>
        <w:t xml:space="preserve">DROGARIA E PERFUMARIA SANTA TEREZINHA DE JESUS LTDA-ME, </w:t>
      </w:r>
      <w:r w:rsidR="00573755" w:rsidRPr="00D329E2">
        <w:rPr>
          <w:rFonts w:ascii="Arial" w:hAnsi="Arial" w:cs="Arial"/>
          <w:sz w:val="24"/>
          <w:szCs w:val="24"/>
        </w:rPr>
        <w:t>inscrita no CNPJ nº 11.129.196/0001-35, com sede à Rua Engenheiro Antônio J. A de Souza, nº 02, Bairro Vilela, Barbacena, Minas Gerais, CEP: 36.205-316</w:t>
      </w:r>
      <w:proofErr w:type="gramStart"/>
      <w:r w:rsidRPr="00D329E2">
        <w:rPr>
          <w:rFonts w:ascii="Arial" w:hAnsi="Arial" w:cs="Arial"/>
          <w:sz w:val="24"/>
          <w:szCs w:val="24"/>
        </w:rPr>
        <w:t>, foi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vencedora com menor preço para </w:t>
      </w:r>
      <w:r w:rsidR="00100580" w:rsidRPr="00D329E2">
        <w:rPr>
          <w:rFonts w:ascii="Arial" w:hAnsi="Arial" w:cs="Arial"/>
          <w:sz w:val="24"/>
          <w:szCs w:val="24"/>
        </w:rPr>
        <w:t xml:space="preserve">o </w:t>
      </w:r>
      <w:r w:rsidR="00573755" w:rsidRPr="00D329E2">
        <w:rPr>
          <w:rFonts w:ascii="Arial" w:hAnsi="Arial" w:cs="Arial"/>
          <w:sz w:val="24"/>
          <w:szCs w:val="24"/>
        </w:rPr>
        <w:t>item 04</w:t>
      </w:r>
      <w:r w:rsidRPr="00D329E2">
        <w:rPr>
          <w:rFonts w:ascii="Arial" w:hAnsi="Arial" w:cs="Arial"/>
          <w:sz w:val="24"/>
          <w:szCs w:val="24"/>
        </w:rPr>
        <w:t xml:space="preserve"> com valor total de R$ </w:t>
      </w:r>
      <w:r w:rsidR="00573755" w:rsidRPr="00D329E2">
        <w:rPr>
          <w:rFonts w:ascii="Arial" w:hAnsi="Arial" w:cs="Arial"/>
          <w:sz w:val="24"/>
          <w:szCs w:val="24"/>
        </w:rPr>
        <w:t>4.000,00</w:t>
      </w:r>
      <w:r w:rsidRPr="00D329E2">
        <w:rPr>
          <w:rFonts w:ascii="Arial" w:hAnsi="Arial" w:cs="Arial"/>
          <w:sz w:val="24"/>
          <w:szCs w:val="24"/>
        </w:rPr>
        <w:t xml:space="preserve"> (</w:t>
      </w:r>
      <w:r w:rsidR="00573755" w:rsidRPr="00D329E2">
        <w:rPr>
          <w:rFonts w:ascii="Arial" w:hAnsi="Arial" w:cs="Arial"/>
          <w:sz w:val="24"/>
          <w:szCs w:val="24"/>
        </w:rPr>
        <w:t>quatro</w:t>
      </w:r>
      <w:r w:rsidRPr="00D329E2">
        <w:rPr>
          <w:rFonts w:ascii="Arial" w:hAnsi="Arial" w:cs="Arial"/>
          <w:sz w:val="24"/>
          <w:szCs w:val="24"/>
        </w:rPr>
        <w:t xml:space="preserve"> mil reais).</w:t>
      </w:r>
    </w:p>
    <w:p w:rsidR="00573755" w:rsidRPr="00D329E2" w:rsidRDefault="00573755" w:rsidP="00D329E2">
      <w:pPr>
        <w:spacing w:before="240" w:after="240"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lastRenderedPageBreak/>
        <w:t xml:space="preserve">A empresa </w:t>
      </w:r>
      <w:r w:rsidRPr="00D329E2">
        <w:rPr>
          <w:rFonts w:ascii="Arial" w:hAnsi="Arial" w:cs="Arial"/>
          <w:b/>
          <w:sz w:val="24"/>
          <w:szCs w:val="24"/>
        </w:rPr>
        <w:t>JOAQUIM CLEBER RESENDE</w:t>
      </w:r>
      <w:r w:rsidRPr="00D329E2">
        <w:rPr>
          <w:rFonts w:ascii="Arial" w:hAnsi="Arial" w:cs="Arial"/>
          <w:b/>
          <w:sz w:val="24"/>
          <w:szCs w:val="24"/>
        </w:rPr>
        <w:t xml:space="preserve">, </w:t>
      </w:r>
      <w:r w:rsidRPr="00D329E2">
        <w:rPr>
          <w:rFonts w:ascii="Arial" w:hAnsi="Arial" w:cs="Arial"/>
          <w:sz w:val="24"/>
          <w:szCs w:val="24"/>
        </w:rPr>
        <w:t xml:space="preserve">inscrita no CNPJ nº </w:t>
      </w:r>
      <w:r w:rsidRPr="00D329E2">
        <w:rPr>
          <w:rFonts w:ascii="Arial" w:hAnsi="Arial" w:cs="Arial"/>
          <w:sz w:val="24"/>
          <w:szCs w:val="24"/>
        </w:rPr>
        <w:t>24.040.352/0001-39</w:t>
      </w:r>
      <w:r w:rsidRPr="00D329E2">
        <w:rPr>
          <w:rFonts w:ascii="Arial" w:hAnsi="Arial" w:cs="Arial"/>
          <w:sz w:val="24"/>
          <w:szCs w:val="24"/>
        </w:rPr>
        <w:t xml:space="preserve">, com sede à Rua </w:t>
      </w:r>
      <w:r w:rsidRPr="00D329E2">
        <w:rPr>
          <w:rFonts w:ascii="Arial" w:hAnsi="Arial" w:cs="Arial"/>
          <w:sz w:val="24"/>
          <w:szCs w:val="24"/>
        </w:rPr>
        <w:t>Manoel Fortes, nº 70</w:t>
      </w:r>
      <w:r w:rsidRPr="00D329E2">
        <w:rPr>
          <w:rFonts w:ascii="Arial" w:hAnsi="Arial" w:cs="Arial"/>
          <w:sz w:val="24"/>
          <w:szCs w:val="24"/>
        </w:rPr>
        <w:t xml:space="preserve">, Bairro </w:t>
      </w:r>
      <w:r w:rsidRPr="00D329E2">
        <w:rPr>
          <w:rFonts w:ascii="Arial" w:hAnsi="Arial" w:cs="Arial"/>
          <w:sz w:val="24"/>
          <w:szCs w:val="24"/>
        </w:rPr>
        <w:t>Vila Santa Terezinha</w:t>
      </w:r>
      <w:r w:rsidRPr="00D329E2">
        <w:rPr>
          <w:rFonts w:ascii="Arial" w:hAnsi="Arial" w:cs="Arial"/>
          <w:sz w:val="24"/>
          <w:szCs w:val="24"/>
        </w:rPr>
        <w:t xml:space="preserve">, </w:t>
      </w:r>
      <w:r w:rsidRPr="00D329E2">
        <w:rPr>
          <w:rFonts w:ascii="Arial" w:hAnsi="Arial" w:cs="Arial"/>
          <w:sz w:val="24"/>
          <w:szCs w:val="24"/>
        </w:rPr>
        <w:t>São João Del Rei</w:t>
      </w:r>
      <w:r w:rsidRPr="00D329E2">
        <w:rPr>
          <w:rFonts w:ascii="Arial" w:hAnsi="Arial" w:cs="Arial"/>
          <w:sz w:val="24"/>
          <w:szCs w:val="24"/>
        </w:rPr>
        <w:t xml:space="preserve">, Minas Gerais, CEP: </w:t>
      </w:r>
      <w:r w:rsidRPr="00D329E2">
        <w:rPr>
          <w:rFonts w:ascii="Arial" w:hAnsi="Arial" w:cs="Arial"/>
          <w:sz w:val="24"/>
          <w:szCs w:val="24"/>
        </w:rPr>
        <w:t>36.305-186</w:t>
      </w:r>
      <w:proofErr w:type="gramStart"/>
      <w:r w:rsidRPr="00D329E2">
        <w:rPr>
          <w:rFonts w:ascii="Arial" w:hAnsi="Arial" w:cs="Arial"/>
          <w:sz w:val="24"/>
          <w:szCs w:val="24"/>
        </w:rPr>
        <w:t>, foi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vencedora com menor preço para </w:t>
      </w:r>
      <w:r w:rsidRPr="00D329E2">
        <w:rPr>
          <w:rFonts w:ascii="Arial" w:hAnsi="Arial" w:cs="Arial"/>
          <w:sz w:val="24"/>
          <w:szCs w:val="24"/>
        </w:rPr>
        <w:t>os itens 01, 02, e 03</w:t>
      </w:r>
      <w:r w:rsidRPr="00D329E2">
        <w:rPr>
          <w:rFonts w:ascii="Arial" w:hAnsi="Arial" w:cs="Arial"/>
          <w:sz w:val="24"/>
          <w:szCs w:val="24"/>
        </w:rPr>
        <w:t xml:space="preserve"> com valor total de R$ </w:t>
      </w:r>
      <w:r w:rsidR="00100580" w:rsidRPr="00D329E2">
        <w:rPr>
          <w:rFonts w:ascii="Arial" w:hAnsi="Arial" w:cs="Arial"/>
          <w:sz w:val="24"/>
          <w:szCs w:val="24"/>
        </w:rPr>
        <w:t>26.500</w:t>
      </w:r>
      <w:r w:rsidRPr="00D329E2">
        <w:rPr>
          <w:rFonts w:ascii="Arial" w:hAnsi="Arial" w:cs="Arial"/>
          <w:sz w:val="24"/>
          <w:szCs w:val="24"/>
        </w:rPr>
        <w:t>,00</w:t>
      </w:r>
      <w:r w:rsidRPr="00D329E2">
        <w:rPr>
          <w:rFonts w:ascii="Arial" w:hAnsi="Arial" w:cs="Arial"/>
          <w:sz w:val="24"/>
          <w:szCs w:val="24"/>
        </w:rPr>
        <w:t xml:space="preserve"> (</w:t>
      </w:r>
      <w:r w:rsidRPr="00D329E2">
        <w:rPr>
          <w:rFonts w:ascii="Arial" w:hAnsi="Arial" w:cs="Arial"/>
          <w:sz w:val="24"/>
          <w:szCs w:val="24"/>
        </w:rPr>
        <w:t xml:space="preserve">vinte e seis mil </w:t>
      </w:r>
      <w:r w:rsidR="00100580" w:rsidRPr="00D329E2">
        <w:rPr>
          <w:rFonts w:ascii="Arial" w:hAnsi="Arial" w:cs="Arial"/>
          <w:sz w:val="24"/>
          <w:szCs w:val="24"/>
        </w:rPr>
        <w:t xml:space="preserve">e </w:t>
      </w:r>
      <w:r w:rsidRPr="00D329E2">
        <w:rPr>
          <w:rFonts w:ascii="Arial" w:hAnsi="Arial" w:cs="Arial"/>
          <w:sz w:val="24"/>
          <w:szCs w:val="24"/>
        </w:rPr>
        <w:t>reais</w:t>
      </w:r>
      <w:r w:rsidRPr="00D329E2">
        <w:rPr>
          <w:rFonts w:ascii="Arial" w:hAnsi="Arial" w:cs="Arial"/>
          <w:sz w:val="24"/>
          <w:szCs w:val="24"/>
        </w:rPr>
        <w:t>).</w:t>
      </w:r>
    </w:p>
    <w:p w:rsidR="00100580" w:rsidRPr="00D329E2" w:rsidRDefault="00100580" w:rsidP="00D329E2">
      <w:pPr>
        <w:pStyle w:val="Corpodetexto3"/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Salienta-se que o Município declarou situação de emergência através do Decreto nº 09 de 17 de março de 2020, onde expressamente consta no art. 3º:</w:t>
      </w:r>
    </w:p>
    <w:p w:rsidR="00100580" w:rsidRPr="00D329E2" w:rsidRDefault="00100580" w:rsidP="00D329E2">
      <w:pPr>
        <w:pStyle w:val="Corpodetexto3"/>
        <w:spacing w:before="240" w:after="240" w:line="360" w:lineRule="auto"/>
        <w:ind w:left="170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329E2">
        <w:rPr>
          <w:rFonts w:ascii="Arial" w:hAnsi="Arial" w:cs="Arial"/>
          <w:b/>
          <w:i/>
          <w:sz w:val="24"/>
          <w:szCs w:val="24"/>
          <w:u w:val="single"/>
        </w:rPr>
        <w:t xml:space="preserve">Art. 3º Fica dispensada a licitação para aquisição de bens, serviços e insumos de saúde destinados ao enfrentamento da emergência de saúde pública de importância internacional decorrente do </w:t>
      </w:r>
      <w:proofErr w:type="spellStart"/>
      <w:r w:rsidRPr="00D329E2">
        <w:rPr>
          <w:rFonts w:ascii="Arial" w:hAnsi="Arial" w:cs="Arial"/>
          <w:b/>
          <w:i/>
          <w:sz w:val="24"/>
          <w:szCs w:val="24"/>
          <w:u w:val="single"/>
        </w:rPr>
        <w:t>Coronavírus</w:t>
      </w:r>
      <w:proofErr w:type="spellEnd"/>
      <w:r w:rsidRPr="00D329E2">
        <w:rPr>
          <w:rFonts w:ascii="Arial" w:hAnsi="Arial" w:cs="Arial"/>
          <w:b/>
          <w:i/>
          <w:sz w:val="24"/>
          <w:szCs w:val="24"/>
          <w:u w:val="single"/>
        </w:rPr>
        <w:t xml:space="preserve"> de que trata este Decreto, nos termos do art. 4º da Lei Federal nº 13.979, de 2020.</w:t>
      </w:r>
    </w:p>
    <w:p w:rsidR="00FF28FF" w:rsidRPr="00D329E2" w:rsidRDefault="00100580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No caso</w:t>
      </w:r>
      <w:r w:rsidR="00FF28FF" w:rsidRPr="00D329E2">
        <w:rPr>
          <w:rFonts w:ascii="Arial" w:hAnsi="Arial" w:cs="Arial"/>
          <w:sz w:val="24"/>
          <w:szCs w:val="24"/>
        </w:rPr>
        <w:t xml:space="preserve"> específico presente</w:t>
      </w:r>
      <w:r w:rsidRPr="00D329E2">
        <w:rPr>
          <w:rFonts w:ascii="Arial" w:hAnsi="Arial" w:cs="Arial"/>
          <w:sz w:val="24"/>
          <w:szCs w:val="24"/>
        </w:rPr>
        <w:t>, pretende-se concretizar a</w:t>
      </w:r>
      <w:r w:rsidR="00FF28FF" w:rsidRPr="00D329E2">
        <w:rPr>
          <w:rFonts w:ascii="Arial" w:hAnsi="Arial" w:cs="Arial"/>
          <w:sz w:val="24"/>
          <w:szCs w:val="24"/>
        </w:rPr>
        <w:t>s aquisições</w:t>
      </w:r>
      <w:r w:rsidRPr="00D329E2">
        <w:rPr>
          <w:rFonts w:ascii="Arial" w:hAnsi="Arial" w:cs="Arial"/>
          <w:sz w:val="24"/>
          <w:szCs w:val="24"/>
        </w:rPr>
        <w:t xml:space="preserve"> como medida fundamental e emergente para auxiliar no combate ao novo ti</w:t>
      </w:r>
      <w:r w:rsidR="00FF28FF" w:rsidRPr="00D329E2">
        <w:rPr>
          <w:rFonts w:ascii="Arial" w:hAnsi="Arial" w:cs="Arial"/>
          <w:sz w:val="24"/>
          <w:szCs w:val="24"/>
        </w:rPr>
        <w:t xml:space="preserve">po do </w:t>
      </w:r>
      <w:proofErr w:type="spellStart"/>
      <w:r w:rsidR="00FF28FF" w:rsidRPr="00D329E2">
        <w:rPr>
          <w:rFonts w:ascii="Arial" w:hAnsi="Arial" w:cs="Arial"/>
          <w:sz w:val="24"/>
          <w:szCs w:val="24"/>
        </w:rPr>
        <w:t>Coronavírus</w:t>
      </w:r>
      <w:proofErr w:type="spellEnd"/>
      <w:r w:rsidR="00FF28FF" w:rsidRPr="00D329E2">
        <w:rPr>
          <w:rFonts w:ascii="Arial" w:hAnsi="Arial" w:cs="Arial"/>
          <w:sz w:val="24"/>
          <w:szCs w:val="24"/>
        </w:rPr>
        <w:t xml:space="preserve"> (2019-</w:t>
      </w:r>
      <w:proofErr w:type="gramStart"/>
      <w:r w:rsidR="00FF28FF" w:rsidRPr="00D329E2">
        <w:rPr>
          <w:rFonts w:ascii="Arial" w:hAnsi="Arial" w:cs="Arial"/>
          <w:sz w:val="24"/>
          <w:szCs w:val="24"/>
        </w:rPr>
        <w:t>nCoV</w:t>
      </w:r>
      <w:proofErr w:type="gramEnd"/>
      <w:r w:rsidR="00FF28FF" w:rsidRPr="00D329E2">
        <w:rPr>
          <w:rFonts w:ascii="Arial" w:hAnsi="Arial" w:cs="Arial"/>
          <w:sz w:val="24"/>
          <w:szCs w:val="24"/>
        </w:rPr>
        <w:t xml:space="preserve">), </w:t>
      </w:r>
      <w:r w:rsidRPr="00D329E2">
        <w:rPr>
          <w:rFonts w:ascii="Arial" w:hAnsi="Arial" w:cs="Arial"/>
          <w:sz w:val="24"/>
          <w:szCs w:val="24"/>
        </w:rPr>
        <w:t xml:space="preserve">uma vez que, a utilização de materiais descartáveis </w:t>
      </w:r>
      <w:r w:rsidR="00034EA1">
        <w:rPr>
          <w:rFonts w:ascii="Arial" w:hAnsi="Arial" w:cs="Arial"/>
          <w:sz w:val="24"/>
          <w:szCs w:val="24"/>
        </w:rPr>
        <w:t>e</w:t>
      </w:r>
      <w:r w:rsidR="00FF28FF" w:rsidRPr="00D329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28FF" w:rsidRPr="00D329E2">
        <w:rPr>
          <w:rFonts w:ascii="Arial" w:hAnsi="Arial" w:cs="Arial"/>
          <w:sz w:val="24"/>
          <w:szCs w:val="24"/>
        </w:rPr>
        <w:t>EPI´s</w:t>
      </w:r>
      <w:proofErr w:type="spellEnd"/>
      <w:r w:rsidR="00FF28FF" w:rsidRPr="00D329E2">
        <w:rPr>
          <w:rFonts w:ascii="Arial" w:hAnsi="Arial" w:cs="Arial"/>
          <w:sz w:val="24"/>
          <w:szCs w:val="24"/>
        </w:rPr>
        <w:t xml:space="preserve"> </w:t>
      </w:r>
      <w:r w:rsidR="00034EA1">
        <w:rPr>
          <w:rFonts w:ascii="Arial" w:hAnsi="Arial" w:cs="Arial"/>
          <w:sz w:val="24"/>
          <w:szCs w:val="24"/>
        </w:rPr>
        <w:t>como</w:t>
      </w:r>
      <w:r w:rsidRPr="00D329E2">
        <w:rPr>
          <w:rFonts w:ascii="Arial" w:hAnsi="Arial" w:cs="Arial"/>
          <w:sz w:val="24"/>
          <w:szCs w:val="24"/>
        </w:rPr>
        <w:t xml:space="preserve"> métodos efetivos </w:t>
      </w:r>
      <w:r w:rsidR="00FF28FF" w:rsidRPr="00D329E2">
        <w:rPr>
          <w:rFonts w:ascii="Arial" w:hAnsi="Arial" w:cs="Arial"/>
          <w:sz w:val="24"/>
          <w:szCs w:val="24"/>
        </w:rPr>
        <w:t xml:space="preserve">e urgente para proteção de servidores envolvidos no combate a pandemia, </w:t>
      </w:r>
      <w:r w:rsidRPr="00D329E2">
        <w:rPr>
          <w:rFonts w:ascii="Arial" w:hAnsi="Arial" w:cs="Arial"/>
          <w:sz w:val="24"/>
          <w:szCs w:val="24"/>
        </w:rPr>
        <w:t xml:space="preserve">evitando a contaminação e sua proliferação, pautando-a na hipótese </w:t>
      </w:r>
      <w:r w:rsidR="00FF28FF" w:rsidRPr="00D329E2">
        <w:rPr>
          <w:rFonts w:ascii="Arial" w:hAnsi="Arial" w:cs="Arial"/>
          <w:sz w:val="24"/>
          <w:szCs w:val="24"/>
        </w:rPr>
        <w:t>prevista no art. 24, inciso IV da Lei 8666/93:</w:t>
      </w:r>
    </w:p>
    <w:p w:rsidR="00FF28FF" w:rsidRPr="00D329E2" w:rsidRDefault="00100580" w:rsidP="00D329E2">
      <w:pPr>
        <w:spacing w:before="240" w:after="240" w:line="360" w:lineRule="auto"/>
        <w:ind w:left="1701"/>
        <w:jc w:val="both"/>
        <w:rPr>
          <w:rFonts w:ascii="Arial" w:hAnsi="Arial" w:cs="Arial"/>
          <w:b/>
          <w:i/>
          <w:sz w:val="24"/>
          <w:szCs w:val="24"/>
        </w:rPr>
      </w:pPr>
      <w:r w:rsidRPr="00D329E2">
        <w:rPr>
          <w:rFonts w:ascii="Arial" w:hAnsi="Arial" w:cs="Arial"/>
          <w:b/>
          <w:i/>
          <w:sz w:val="24"/>
          <w:szCs w:val="24"/>
        </w:rPr>
        <w:t xml:space="preserve">IV 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</w:t>
      </w:r>
      <w:proofErr w:type="gramStart"/>
      <w:r w:rsidRPr="00D329E2">
        <w:rPr>
          <w:rFonts w:ascii="Arial" w:hAnsi="Arial" w:cs="Arial"/>
          <w:b/>
          <w:i/>
          <w:sz w:val="24"/>
          <w:szCs w:val="24"/>
        </w:rPr>
        <w:t>contados da ocorrência da emergência ou calamidade, vedada</w:t>
      </w:r>
      <w:proofErr w:type="gramEnd"/>
      <w:r w:rsidRPr="00D329E2">
        <w:rPr>
          <w:rFonts w:ascii="Arial" w:hAnsi="Arial" w:cs="Arial"/>
          <w:b/>
          <w:i/>
          <w:sz w:val="24"/>
          <w:szCs w:val="24"/>
        </w:rPr>
        <w:t xml:space="preserve"> a prorrog</w:t>
      </w:r>
      <w:r w:rsidR="00FF28FF" w:rsidRPr="00D329E2">
        <w:rPr>
          <w:rFonts w:ascii="Arial" w:hAnsi="Arial" w:cs="Arial"/>
          <w:b/>
          <w:i/>
          <w:sz w:val="24"/>
          <w:szCs w:val="24"/>
        </w:rPr>
        <w:t>ação dos respectivos contratos;</w:t>
      </w:r>
    </w:p>
    <w:p w:rsidR="00FF28FF" w:rsidRPr="00D329E2" w:rsidRDefault="00FF28FF" w:rsidP="00D329E2">
      <w:pPr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F28FF" w:rsidRPr="00D329E2" w:rsidRDefault="00100580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Trata-se de situação emergencial</w:t>
      </w:r>
      <w:r w:rsidR="00FF28FF" w:rsidRPr="00D329E2">
        <w:rPr>
          <w:rFonts w:ascii="Arial" w:hAnsi="Arial" w:cs="Arial"/>
          <w:sz w:val="24"/>
          <w:szCs w:val="24"/>
        </w:rPr>
        <w:t>, com situação declarada inclusive pelo Estado de Minas Gerais e pela União,</w:t>
      </w:r>
      <w:r w:rsidRPr="00D329E2">
        <w:rPr>
          <w:rFonts w:ascii="Arial" w:hAnsi="Arial" w:cs="Arial"/>
          <w:sz w:val="24"/>
          <w:szCs w:val="24"/>
        </w:rPr>
        <w:t xml:space="preserve"> em que o </w:t>
      </w:r>
      <w:r w:rsidR="00FF28FF" w:rsidRPr="00D329E2">
        <w:rPr>
          <w:rFonts w:ascii="Arial" w:hAnsi="Arial" w:cs="Arial"/>
          <w:sz w:val="24"/>
          <w:szCs w:val="24"/>
        </w:rPr>
        <w:t>Município</w:t>
      </w:r>
      <w:r w:rsidRPr="00D329E2">
        <w:rPr>
          <w:rFonts w:ascii="Arial" w:hAnsi="Arial" w:cs="Arial"/>
          <w:sz w:val="24"/>
          <w:szCs w:val="24"/>
        </w:rPr>
        <w:t xml:space="preserve"> carece de célere tutela para efetivar sua necessidade, podendo acarretar graves prejuízos e comprometer a </w:t>
      </w:r>
      <w:r w:rsidRPr="00D329E2">
        <w:rPr>
          <w:rFonts w:ascii="Arial" w:hAnsi="Arial" w:cs="Arial"/>
          <w:sz w:val="24"/>
          <w:szCs w:val="24"/>
        </w:rPr>
        <w:lastRenderedPageBreak/>
        <w:t>segurança/saúde pública caso tenha que suportar a morosidade ineren</w:t>
      </w:r>
      <w:r w:rsidR="00FF28FF" w:rsidRPr="00D329E2">
        <w:rPr>
          <w:rFonts w:ascii="Arial" w:hAnsi="Arial" w:cs="Arial"/>
          <w:sz w:val="24"/>
          <w:szCs w:val="24"/>
        </w:rPr>
        <w:t>te do procedimento licitatório.</w:t>
      </w:r>
    </w:p>
    <w:p w:rsidR="002838D0" w:rsidRPr="00D329E2" w:rsidRDefault="00100580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Em que pese </w:t>
      </w:r>
      <w:proofErr w:type="gramStart"/>
      <w:r w:rsidRPr="00D329E2">
        <w:rPr>
          <w:rFonts w:ascii="Arial" w:hAnsi="Arial" w:cs="Arial"/>
          <w:sz w:val="24"/>
          <w:szCs w:val="24"/>
        </w:rPr>
        <w:t>a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previsão excepcional, tais situações devem ser analisadas em concreto, limitando-se o quantitativo apenas ao necessário para sati</w:t>
      </w:r>
      <w:r w:rsidR="002838D0" w:rsidRPr="00D329E2">
        <w:rPr>
          <w:rFonts w:ascii="Arial" w:hAnsi="Arial" w:cs="Arial"/>
          <w:sz w:val="24"/>
          <w:szCs w:val="24"/>
        </w:rPr>
        <w:t>sfazer determinada demanda, sendo de destaque que na requisição encaminhada pela Secretaria de Saúde foi informado os quantitativos e a urgência para as aquisições.</w:t>
      </w:r>
    </w:p>
    <w:p w:rsidR="002838D0" w:rsidRPr="00D329E2" w:rsidRDefault="002838D0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Salienta-se ainda que </w:t>
      </w:r>
      <w:r w:rsidR="00100580" w:rsidRPr="00D329E2">
        <w:rPr>
          <w:rFonts w:ascii="Arial" w:hAnsi="Arial" w:cs="Arial"/>
          <w:sz w:val="24"/>
          <w:szCs w:val="24"/>
        </w:rPr>
        <w:t xml:space="preserve">Para efetivação da Dispensa de Licitação </w:t>
      </w:r>
      <w:proofErr w:type="gramStart"/>
      <w:r w:rsidR="00100580" w:rsidRPr="00D329E2">
        <w:rPr>
          <w:rFonts w:ascii="Arial" w:hAnsi="Arial" w:cs="Arial"/>
          <w:sz w:val="24"/>
          <w:szCs w:val="24"/>
        </w:rPr>
        <w:t>devem</w:t>
      </w:r>
      <w:proofErr w:type="gramEnd"/>
      <w:r w:rsidR="00100580" w:rsidRPr="00D329E2">
        <w:rPr>
          <w:rFonts w:ascii="Arial" w:hAnsi="Arial" w:cs="Arial"/>
          <w:sz w:val="24"/>
          <w:szCs w:val="24"/>
        </w:rPr>
        <w:t xml:space="preserve"> ser observados os requisitos previstos nos incisos I, II, e III do parágrafo único do artigo </w:t>
      </w:r>
      <w:r w:rsidRPr="00D329E2">
        <w:rPr>
          <w:rFonts w:ascii="Arial" w:hAnsi="Arial" w:cs="Arial"/>
          <w:sz w:val="24"/>
          <w:szCs w:val="24"/>
        </w:rPr>
        <w:t>26 da Lei nº 8.666/93. Vejamos:</w:t>
      </w:r>
    </w:p>
    <w:p w:rsidR="002838D0" w:rsidRPr="00D329E2" w:rsidRDefault="002838D0" w:rsidP="00D329E2">
      <w:pPr>
        <w:spacing w:before="240" w:after="240" w:line="360" w:lineRule="auto"/>
        <w:ind w:left="1701"/>
        <w:jc w:val="both"/>
        <w:rPr>
          <w:rFonts w:ascii="Arial" w:hAnsi="Arial" w:cs="Arial"/>
          <w:b/>
          <w:i/>
          <w:sz w:val="24"/>
          <w:szCs w:val="24"/>
        </w:rPr>
      </w:pPr>
      <w:r w:rsidRPr="00D329E2">
        <w:rPr>
          <w:rFonts w:ascii="Arial" w:hAnsi="Arial" w:cs="Arial"/>
          <w:b/>
          <w:i/>
          <w:sz w:val="24"/>
          <w:szCs w:val="24"/>
        </w:rPr>
        <w:t>Art. 26 (...)</w:t>
      </w:r>
    </w:p>
    <w:p w:rsidR="00034EA1" w:rsidRDefault="00100580" w:rsidP="00D329E2">
      <w:pPr>
        <w:spacing w:before="240" w:after="240" w:line="360" w:lineRule="auto"/>
        <w:ind w:left="1701"/>
        <w:jc w:val="both"/>
        <w:rPr>
          <w:rFonts w:ascii="Arial" w:hAnsi="Arial" w:cs="Arial"/>
          <w:b/>
          <w:i/>
          <w:sz w:val="24"/>
          <w:szCs w:val="24"/>
        </w:rPr>
      </w:pPr>
      <w:r w:rsidRPr="00D329E2">
        <w:rPr>
          <w:rFonts w:ascii="Arial" w:hAnsi="Arial" w:cs="Arial"/>
          <w:b/>
          <w:i/>
          <w:sz w:val="24"/>
          <w:szCs w:val="24"/>
        </w:rPr>
        <w:t>Parágrafo único. O processo de dispensa, de inexigibilidade ou de retardamento, previsto neste artigo, será instruído, no que coub</w:t>
      </w:r>
      <w:r w:rsidR="00034EA1">
        <w:rPr>
          <w:rFonts w:ascii="Arial" w:hAnsi="Arial" w:cs="Arial"/>
          <w:b/>
          <w:i/>
          <w:sz w:val="24"/>
          <w:szCs w:val="24"/>
        </w:rPr>
        <w:t>er, com os seguintes elementos:</w:t>
      </w:r>
    </w:p>
    <w:p w:rsidR="00034EA1" w:rsidRDefault="00100580" w:rsidP="00D329E2">
      <w:pPr>
        <w:spacing w:before="240" w:after="240" w:line="360" w:lineRule="auto"/>
        <w:ind w:left="1701"/>
        <w:jc w:val="both"/>
        <w:rPr>
          <w:rFonts w:ascii="Arial" w:hAnsi="Arial" w:cs="Arial"/>
          <w:b/>
          <w:i/>
          <w:sz w:val="24"/>
          <w:szCs w:val="24"/>
        </w:rPr>
      </w:pPr>
      <w:r w:rsidRPr="00D329E2">
        <w:rPr>
          <w:rFonts w:ascii="Arial" w:hAnsi="Arial" w:cs="Arial"/>
          <w:b/>
          <w:i/>
          <w:sz w:val="24"/>
          <w:szCs w:val="24"/>
        </w:rPr>
        <w:t>I – caracterização da situação emergencial ou calamitosa que justifique</w:t>
      </w:r>
      <w:r w:rsidR="00034EA1">
        <w:rPr>
          <w:rFonts w:ascii="Arial" w:hAnsi="Arial" w:cs="Arial"/>
          <w:b/>
          <w:i/>
          <w:sz w:val="24"/>
          <w:szCs w:val="24"/>
        </w:rPr>
        <w:t xml:space="preserve"> a dispensa, quando for o caso;</w:t>
      </w:r>
    </w:p>
    <w:p w:rsidR="00034EA1" w:rsidRDefault="00100580" w:rsidP="00D329E2">
      <w:pPr>
        <w:spacing w:before="240" w:after="240" w:line="360" w:lineRule="auto"/>
        <w:ind w:left="1701"/>
        <w:jc w:val="both"/>
        <w:rPr>
          <w:rFonts w:ascii="Arial" w:hAnsi="Arial" w:cs="Arial"/>
          <w:b/>
          <w:i/>
          <w:sz w:val="24"/>
          <w:szCs w:val="24"/>
        </w:rPr>
      </w:pPr>
      <w:r w:rsidRPr="00D329E2">
        <w:rPr>
          <w:rFonts w:ascii="Arial" w:hAnsi="Arial" w:cs="Arial"/>
          <w:b/>
          <w:i/>
          <w:sz w:val="24"/>
          <w:szCs w:val="24"/>
        </w:rPr>
        <w:t>II – razão da escol</w:t>
      </w:r>
      <w:r w:rsidR="00034EA1">
        <w:rPr>
          <w:rFonts w:ascii="Arial" w:hAnsi="Arial" w:cs="Arial"/>
          <w:b/>
          <w:i/>
          <w:sz w:val="24"/>
          <w:szCs w:val="24"/>
        </w:rPr>
        <w:t>ha do fornecedor ou executante;</w:t>
      </w:r>
    </w:p>
    <w:p w:rsidR="002838D0" w:rsidRPr="00D329E2" w:rsidRDefault="00100580" w:rsidP="00D329E2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b/>
          <w:i/>
          <w:sz w:val="24"/>
          <w:szCs w:val="24"/>
        </w:rPr>
        <w:t>III – justificativa do preço.</w:t>
      </w:r>
    </w:p>
    <w:p w:rsidR="002838D0" w:rsidRPr="00D329E2" w:rsidRDefault="00100580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Com relação à caracterização da situação emergencial, foi juntado o Decreto </w:t>
      </w:r>
      <w:r w:rsidR="002838D0" w:rsidRPr="00D329E2">
        <w:rPr>
          <w:rFonts w:ascii="Arial" w:hAnsi="Arial" w:cs="Arial"/>
          <w:sz w:val="24"/>
          <w:szCs w:val="24"/>
        </w:rPr>
        <w:t xml:space="preserve">Municipal </w:t>
      </w:r>
      <w:r w:rsidRPr="00D329E2">
        <w:rPr>
          <w:rFonts w:ascii="Arial" w:hAnsi="Arial" w:cs="Arial"/>
          <w:sz w:val="24"/>
          <w:szCs w:val="24"/>
        </w:rPr>
        <w:t xml:space="preserve">nº </w:t>
      </w:r>
      <w:r w:rsidR="002838D0" w:rsidRPr="00D329E2">
        <w:rPr>
          <w:rFonts w:ascii="Arial" w:hAnsi="Arial" w:cs="Arial"/>
          <w:sz w:val="24"/>
          <w:szCs w:val="24"/>
        </w:rPr>
        <w:t>09, de 17</w:t>
      </w:r>
      <w:r w:rsidRPr="00D329E2">
        <w:rPr>
          <w:rFonts w:ascii="Arial" w:hAnsi="Arial" w:cs="Arial"/>
          <w:sz w:val="24"/>
          <w:szCs w:val="24"/>
        </w:rPr>
        <w:t xml:space="preserve"> de março de 2020 que dispõe sobre a decretação de situação de emergência na saúde Pública do </w:t>
      </w:r>
      <w:r w:rsidR="002838D0" w:rsidRPr="00D329E2">
        <w:rPr>
          <w:rFonts w:ascii="Arial" w:hAnsi="Arial" w:cs="Arial"/>
          <w:sz w:val="24"/>
          <w:szCs w:val="24"/>
        </w:rPr>
        <w:t>Município</w:t>
      </w:r>
      <w:r w:rsidRPr="00D329E2">
        <w:rPr>
          <w:rFonts w:ascii="Arial" w:hAnsi="Arial" w:cs="Arial"/>
          <w:sz w:val="24"/>
          <w:szCs w:val="24"/>
        </w:rPr>
        <w:t>, em razão da disseminação d</w:t>
      </w:r>
      <w:r w:rsidR="00EF766B" w:rsidRPr="00D329E2">
        <w:rPr>
          <w:rFonts w:ascii="Arial" w:hAnsi="Arial" w:cs="Arial"/>
          <w:sz w:val="24"/>
          <w:szCs w:val="24"/>
        </w:rPr>
        <w:t xml:space="preserve">o novo </w:t>
      </w:r>
      <w:proofErr w:type="spellStart"/>
      <w:r w:rsidR="00EF766B" w:rsidRPr="00D329E2">
        <w:rPr>
          <w:rFonts w:ascii="Arial" w:hAnsi="Arial" w:cs="Arial"/>
          <w:sz w:val="24"/>
          <w:szCs w:val="24"/>
        </w:rPr>
        <w:t>coronavírus</w:t>
      </w:r>
      <w:proofErr w:type="spellEnd"/>
      <w:r w:rsidR="00EF766B" w:rsidRPr="00D329E2">
        <w:rPr>
          <w:rFonts w:ascii="Arial" w:hAnsi="Arial" w:cs="Arial"/>
          <w:sz w:val="24"/>
          <w:szCs w:val="24"/>
        </w:rPr>
        <w:t xml:space="preserve"> (2019-</w:t>
      </w:r>
      <w:proofErr w:type="gramStart"/>
      <w:r w:rsidR="00EF766B" w:rsidRPr="00D329E2">
        <w:rPr>
          <w:rFonts w:ascii="Arial" w:hAnsi="Arial" w:cs="Arial"/>
          <w:sz w:val="24"/>
          <w:szCs w:val="24"/>
        </w:rPr>
        <w:t>nCov</w:t>
      </w:r>
      <w:proofErr w:type="gramEnd"/>
      <w:r w:rsidR="00EF766B" w:rsidRPr="00D329E2">
        <w:rPr>
          <w:rFonts w:ascii="Arial" w:hAnsi="Arial" w:cs="Arial"/>
          <w:sz w:val="24"/>
          <w:szCs w:val="24"/>
        </w:rPr>
        <w:t>).</w:t>
      </w:r>
    </w:p>
    <w:p w:rsidR="00EF766B" w:rsidRPr="00D329E2" w:rsidRDefault="00EF766B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Ainda se destaca,</w:t>
      </w:r>
      <w:r w:rsidRPr="00D329E2">
        <w:rPr>
          <w:rFonts w:ascii="Arial" w:hAnsi="Arial" w:cs="Arial"/>
          <w:sz w:val="24"/>
          <w:szCs w:val="24"/>
        </w:rPr>
        <w:t xml:space="preserve"> com relação à situação emergencial de necessidade de contenção da COVID </w:t>
      </w:r>
      <w:r w:rsidRPr="00D329E2">
        <w:rPr>
          <w:rFonts w:ascii="Arial" w:hAnsi="Arial" w:cs="Arial"/>
          <w:sz w:val="24"/>
          <w:szCs w:val="24"/>
        </w:rPr>
        <w:t>–</w:t>
      </w:r>
      <w:r w:rsidRPr="00D329E2">
        <w:rPr>
          <w:rFonts w:ascii="Arial" w:hAnsi="Arial" w:cs="Arial"/>
          <w:sz w:val="24"/>
          <w:szCs w:val="24"/>
        </w:rPr>
        <w:t xml:space="preserve"> 19</w:t>
      </w:r>
      <w:r w:rsidRPr="00D329E2">
        <w:rPr>
          <w:rFonts w:ascii="Arial" w:hAnsi="Arial" w:cs="Arial"/>
          <w:sz w:val="24"/>
          <w:szCs w:val="24"/>
        </w:rPr>
        <w:t>,</w:t>
      </w:r>
      <w:r w:rsidRPr="00D329E2">
        <w:rPr>
          <w:rFonts w:ascii="Arial" w:hAnsi="Arial" w:cs="Arial"/>
          <w:sz w:val="24"/>
          <w:szCs w:val="24"/>
        </w:rPr>
        <w:t xml:space="preserve"> a declaração da Organização Mundial de Saúde, de 11 de março de 2020, em que a Covid-19, novo </w:t>
      </w:r>
      <w:proofErr w:type="spellStart"/>
      <w:r w:rsidRPr="00D329E2">
        <w:rPr>
          <w:rFonts w:ascii="Arial" w:hAnsi="Arial" w:cs="Arial"/>
          <w:sz w:val="24"/>
          <w:szCs w:val="24"/>
        </w:rPr>
        <w:t>coronavírus</w:t>
      </w:r>
      <w:proofErr w:type="spellEnd"/>
      <w:r w:rsidRPr="00D329E2">
        <w:rPr>
          <w:rFonts w:ascii="Arial" w:hAnsi="Arial" w:cs="Arial"/>
          <w:sz w:val="24"/>
          <w:szCs w:val="24"/>
        </w:rPr>
        <w:t>, além de ser uma situação de emergência internacional, passa a compor situação de pandemia, marcada pelo surgimento da doença em vários continentes, inclusive com transmi</w:t>
      </w:r>
      <w:r w:rsidRPr="00D329E2">
        <w:rPr>
          <w:rFonts w:ascii="Arial" w:hAnsi="Arial" w:cs="Arial"/>
          <w:sz w:val="24"/>
          <w:szCs w:val="24"/>
        </w:rPr>
        <w:t>ssão local.</w:t>
      </w:r>
    </w:p>
    <w:p w:rsidR="002838D0" w:rsidRPr="00D329E2" w:rsidRDefault="00EF766B" w:rsidP="00D329E2">
      <w:pPr>
        <w:spacing w:before="240" w:after="240" w:line="360" w:lineRule="auto"/>
        <w:ind w:firstLine="1701"/>
        <w:jc w:val="both"/>
        <w:rPr>
          <w:rFonts w:ascii="Arial" w:hAnsi="Arial" w:cs="Arial"/>
          <w:b/>
          <w:i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Além disso, foi editada a Lei Federal nº 13.979, de </w:t>
      </w:r>
      <w:proofErr w:type="gramStart"/>
      <w:r w:rsidRPr="00D329E2">
        <w:rPr>
          <w:rFonts w:ascii="Arial" w:hAnsi="Arial" w:cs="Arial"/>
          <w:sz w:val="24"/>
          <w:szCs w:val="24"/>
        </w:rPr>
        <w:t>6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de fevereiro de 2020, que dispõe sobre as medidas para enfrentamento da emergência em saúde pública de </w:t>
      </w:r>
      <w:r w:rsidRPr="00D329E2">
        <w:rPr>
          <w:rFonts w:ascii="Arial" w:hAnsi="Arial" w:cs="Arial"/>
          <w:sz w:val="24"/>
          <w:szCs w:val="24"/>
        </w:rPr>
        <w:lastRenderedPageBreak/>
        <w:t xml:space="preserve">importância internacional decorrente do </w:t>
      </w:r>
      <w:proofErr w:type="spellStart"/>
      <w:r w:rsidRPr="00D329E2">
        <w:rPr>
          <w:rFonts w:ascii="Arial" w:hAnsi="Arial" w:cs="Arial"/>
          <w:sz w:val="24"/>
          <w:szCs w:val="24"/>
        </w:rPr>
        <w:t>coronavírus</w:t>
      </w:r>
      <w:proofErr w:type="spellEnd"/>
      <w:r w:rsidRPr="00D329E2">
        <w:rPr>
          <w:rFonts w:ascii="Arial" w:hAnsi="Arial" w:cs="Arial"/>
          <w:sz w:val="24"/>
          <w:szCs w:val="24"/>
        </w:rPr>
        <w:t xml:space="preserve"> responsável pelo surto de 2019, com o intuito de proteger a</w:t>
      </w:r>
      <w:r w:rsidRPr="00D329E2">
        <w:rPr>
          <w:rFonts w:ascii="Arial" w:hAnsi="Arial" w:cs="Arial"/>
          <w:sz w:val="24"/>
          <w:szCs w:val="24"/>
        </w:rPr>
        <w:t xml:space="preserve"> coletividade</w:t>
      </w:r>
      <w:r w:rsidRPr="00D329E2">
        <w:rPr>
          <w:rFonts w:ascii="Arial" w:hAnsi="Arial" w:cs="Arial"/>
          <w:sz w:val="24"/>
          <w:szCs w:val="24"/>
        </w:rPr>
        <w:t xml:space="preserve">, que contém expressa previsão de dispensa de licitação </w:t>
      </w:r>
      <w:r w:rsidRPr="00D329E2">
        <w:rPr>
          <w:rFonts w:ascii="Arial" w:hAnsi="Arial" w:cs="Arial"/>
          <w:b/>
          <w:i/>
          <w:sz w:val="24"/>
          <w:szCs w:val="24"/>
        </w:rPr>
        <w:t xml:space="preserve">"para aquisição de bens, serviços e insumos de saúde destinados ao enfrentamento da emergência de saúde pública de importância internacional decorrente do </w:t>
      </w:r>
      <w:proofErr w:type="spellStart"/>
      <w:r w:rsidRPr="00D329E2">
        <w:rPr>
          <w:rFonts w:ascii="Arial" w:hAnsi="Arial" w:cs="Arial"/>
          <w:b/>
          <w:i/>
          <w:sz w:val="24"/>
          <w:szCs w:val="24"/>
        </w:rPr>
        <w:t>coronavírus</w:t>
      </w:r>
      <w:proofErr w:type="spellEnd"/>
      <w:r w:rsidRPr="00D329E2">
        <w:rPr>
          <w:rFonts w:ascii="Arial" w:hAnsi="Arial" w:cs="Arial"/>
          <w:b/>
          <w:i/>
          <w:sz w:val="24"/>
          <w:szCs w:val="24"/>
        </w:rPr>
        <w:t xml:space="preserve"> de que trata esta Lei".</w:t>
      </w:r>
    </w:p>
    <w:p w:rsidR="00EF766B" w:rsidRPr="00D329E2" w:rsidRDefault="00EF766B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Quanto à razão de escolha do</w:t>
      </w:r>
      <w:r w:rsidRPr="00D329E2">
        <w:rPr>
          <w:rFonts w:ascii="Arial" w:hAnsi="Arial" w:cs="Arial"/>
          <w:sz w:val="24"/>
          <w:szCs w:val="24"/>
        </w:rPr>
        <w:t>s</w:t>
      </w:r>
      <w:r w:rsidRPr="00D329E2">
        <w:rPr>
          <w:rFonts w:ascii="Arial" w:hAnsi="Arial" w:cs="Arial"/>
          <w:sz w:val="24"/>
          <w:szCs w:val="24"/>
        </w:rPr>
        <w:t xml:space="preserve"> fornecedor</w:t>
      </w:r>
      <w:r w:rsidRPr="00D329E2">
        <w:rPr>
          <w:rFonts w:ascii="Arial" w:hAnsi="Arial" w:cs="Arial"/>
          <w:sz w:val="24"/>
          <w:szCs w:val="24"/>
        </w:rPr>
        <w:t xml:space="preserve">es, o Setor de Compras e Licitações, avaliou propostas de preços considerando os menores ofertados, destacando ainda que </w:t>
      </w:r>
      <w:proofErr w:type="gramStart"/>
      <w:r w:rsidRPr="00D329E2">
        <w:rPr>
          <w:rFonts w:ascii="Arial" w:hAnsi="Arial" w:cs="Arial"/>
          <w:sz w:val="24"/>
          <w:szCs w:val="24"/>
        </w:rPr>
        <w:t>existe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dificuldades em encontrar os itens adquiridos no mercado, em função justamente </w:t>
      </w:r>
      <w:r w:rsidR="00034EA1">
        <w:rPr>
          <w:rFonts w:ascii="Arial" w:hAnsi="Arial" w:cs="Arial"/>
          <w:sz w:val="24"/>
          <w:szCs w:val="24"/>
        </w:rPr>
        <w:t>de</w:t>
      </w:r>
      <w:r w:rsidRPr="00D329E2">
        <w:rPr>
          <w:rFonts w:ascii="Arial" w:hAnsi="Arial" w:cs="Arial"/>
          <w:sz w:val="24"/>
          <w:szCs w:val="24"/>
        </w:rPr>
        <w:t xml:space="preserve"> serem extremamente necessários para proteção e combate à pandemia.</w:t>
      </w:r>
    </w:p>
    <w:p w:rsidR="00EF766B" w:rsidRPr="00D329E2" w:rsidRDefault="00EF766B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A possibilidade de a Administração contratar diretamente não a isenta de comprovar a regularidade dos preços e desconsiderar propostas excessivas ou inexequíveis. Vale observar que a jurisprudência do Tribunal de Contas da União é firme em indicar que a realização de pesquisa de preços de mercado, previamente à fase externa da licitação, é uma exigência legal para todos os processos licitatórios, inclusive para os casos</w:t>
      </w:r>
      <w:r w:rsidRPr="00D329E2">
        <w:rPr>
          <w:rFonts w:ascii="Arial" w:hAnsi="Arial" w:cs="Arial"/>
          <w:sz w:val="24"/>
          <w:szCs w:val="24"/>
        </w:rPr>
        <w:t xml:space="preserve"> de dispensa e inexigibilidade.</w:t>
      </w:r>
    </w:p>
    <w:p w:rsidR="00EF766B" w:rsidRPr="00D329E2" w:rsidRDefault="00EF766B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Neste sentido foi </w:t>
      </w:r>
      <w:proofErr w:type="gramStart"/>
      <w:r w:rsidRPr="00D329E2">
        <w:rPr>
          <w:rFonts w:ascii="Arial" w:hAnsi="Arial" w:cs="Arial"/>
          <w:sz w:val="24"/>
          <w:szCs w:val="24"/>
        </w:rPr>
        <w:t>realizado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corretamente a pesquisa de preços pelo Setor de Compras e Licitações, sendo de destaque que anteriormente foi realizado o Pregão nº 13/2020 e a tentativa de adquirir os produtos através de registro de preços adquirido pelo Consórcio Intermunicipal de Saúde que o Município integra, sendo que no Pregão os itens restaram desertos e no Registro de Preços ainda não houve entregas, </w:t>
      </w:r>
      <w:r w:rsidR="000A2812" w:rsidRPr="00D329E2">
        <w:rPr>
          <w:rFonts w:ascii="Arial" w:hAnsi="Arial" w:cs="Arial"/>
          <w:sz w:val="24"/>
          <w:szCs w:val="24"/>
        </w:rPr>
        <w:t>deixando em iminente risco os profissionais de saúde envolvidos diretamente no combate a pandemia.</w:t>
      </w:r>
    </w:p>
    <w:p w:rsidR="001D0522" w:rsidRPr="00D329E2" w:rsidRDefault="000A2812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No que tange à documentação do</w:t>
      </w:r>
      <w:r w:rsidRPr="00D329E2">
        <w:rPr>
          <w:rFonts w:ascii="Arial" w:hAnsi="Arial" w:cs="Arial"/>
          <w:sz w:val="24"/>
          <w:szCs w:val="24"/>
        </w:rPr>
        <w:t>s</w:t>
      </w:r>
      <w:r w:rsidRPr="00D329E2">
        <w:rPr>
          <w:rFonts w:ascii="Arial" w:hAnsi="Arial" w:cs="Arial"/>
          <w:sz w:val="24"/>
          <w:szCs w:val="24"/>
        </w:rPr>
        <w:t xml:space="preserve"> fornecedor</w:t>
      </w:r>
      <w:r w:rsidRPr="00D329E2">
        <w:rPr>
          <w:rFonts w:ascii="Arial" w:hAnsi="Arial" w:cs="Arial"/>
          <w:sz w:val="24"/>
          <w:szCs w:val="24"/>
        </w:rPr>
        <w:t>es, foi regularmente apresento por todas as empresas</w:t>
      </w:r>
      <w:r w:rsidR="001D0522" w:rsidRPr="00D329E2">
        <w:rPr>
          <w:rFonts w:ascii="Arial" w:hAnsi="Arial" w:cs="Arial"/>
          <w:sz w:val="24"/>
          <w:szCs w:val="24"/>
        </w:rPr>
        <w:t>:</w:t>
      </w:r>
    </w:p>
    <w:p w:rsidR="001D0522" w:rsidRPr="00D329E2" w:rsidRDefault="001D0522" w:rsidP="00034EA1">
      <w:pPr>
        <w:pStyle w:val="Default"/>
        <w:spacing w:line="360" w:lineRule="auto"/>
        <w:jc w:val="both"/>
        <w:rPr>
          <w:i/>
        </w:rPr>
      </w:pPr>
      <w:proofErr w:type="gramStart"/>
      <w:r w:rsidRPr="00D329E2">
        <w:rPr>
          <w:i/>
        </w:rPr>
        <w:t>1</w:t>
      </w:r>
      <w:proofErr w:type="gramEnd"/>
      <w:r w:rsidRPr="00D329E2">
        <w:rPr>
          <w:i/>
        </w:rPr>
        <w:t>) Prova de inscrição no CNPJ com atividade pertinente ao certame;</w:t>
      </w:r>
    </w:p>
    <w:p w:rsidR="001D0522" w:rsidRPr="00D329E2" w:rsidRDefault="001D0522" w:rsidP="00034EA1">
      <w:pPr>
        <w:pStyle w:val="Default"/>
        <w:spacing w:line="360" w:lineRule="auto"/>
        <w:jc w:val="both"/>
        <w:rPr>
          <w:i/>
        </w:rPr>
      </w:pPr>
      <w:proofErr w:type="gramStart"/>
      <w:r w:rsidRPr="00D329E2">
        <w:rPr>
          <w:i/>
        </w:rPr>
        <w:t>2</w:t>
      </w:r>
      <w:proofErr w:type="gramEnd"/>
      <w:r w:rsidRPr="00D329E2">
        <w:rPr>
          <w:i/>
        </w:rPr>
        <w:t>) Contrato Social</w:t>
      </w:r>
      <w:r w:rsidR="000A2812" w:rsidRPr="00D329E2">
        <w:rPr>
          <w:i/>
        </w:rPr>
        <w:t>/instrumento de constituição</w:t>
      </w:r>
      <w:r w:rsidRPr="00D329E2">
        <w:rPr>
          <w:i/>
        </w:rPr>
        <w:t>;</w:t>
      </w:r>
    </w:p>
    <w:p w:rsidR="001D0522" w:rsidRPr="00D329E2" w:rsidRDefault="001D0522" w:rsidP="00034EA1">
      <w:pPr>
        <w:pStyle w:val="Default"/>
        <w:spacing w:line="360" w:lineRule="auto"/>
        <w:jc w:val="both"/>
        <w:rPr>
          <w:i/>
        </w:rPr>
      </w:pPr>
      <w:proofErr w:type="gramStart"/>
      <w:r w:rsidRPr="00D329E2">
        <w:rPr>
          <w:i/>
        </w:rPr>
        <w:t>3</w:t>
      </w:r>
      <w:proofErr w:type="gramEnd"/>
      <w:r w:rsidRPr="00D329E2">
        <w:rPr>
          <w:i/>
        </w:rPr>
        <w:t>) Certidão de Tributos Federais;</w:t>
      </w:r>
    </w:p>
    <w:p w:rsidR="001D0522" w:rsidRPr="00D329E2" w:rsidRDefault="001D0522" w:rsidP="00034EA1">
      <w:pPr>
        <w:pStyle w:val="Default"/>
        <w:spacing w:line="360" w:lineRule="auto"/>
        <w:jc w:val="both"/>
        <w:rPr>
          <w:i/>
        </w:rPr>
      </w:pPr>
      <w:proofErr w:type="gramStart"/>
      <w:r w:rsidRPr="00D329E2">
        <w:rPr>
          <w:i/>
        </w:rPr>
        <w:t>4</w:t>
      </w:r>
      <w:proofErr w:type="gramEnd"/>
      <w:r w:rsidRPr="00D329E2">
        <w:rPr>
          <w:i/>
        </w:rPr>
        <w:t>) Certidão de Tributos Estaduais;</w:t>
      </w:r>
    </w:p>
    <w:p w:rsidR="001D0522" w:rsidRPr="00D329E2" w:rsidRDefault="001D0522" w:rsidP="00034EA1">
      <w:pPr>
        <w:pStyle w:val="Default"/>
        <w:spacing w:line="360" w:lineRule="auto"/>
        <w:jc w:val="both"/>
        <w:rPr>
          <w:i/>
        </w:rPr>
      </w:pPr>
      <w:proofErr w:type="gramStart"/>
      <w:r w:rsidRPr="00D329E2">
        <w:rPr>
          <w:i/>
        </w:rPr>
        <w:t>5</w:t>
      </w:r>
      <w:proofErr w:type="gramEnd"/>
      <w:r w:rsidRPr="00D329E2">
        <w:rPr>
          <w:i/>
        </w:rPr>
        <w:t>) Certidão de Tributos Municipais;</w:t>
      </w:r>
    </w:p>
    <w:p w:rsidR="001D0522" w:rsidRPr="00D329E2" w:rsidRDefault="001D0522" w:rsidP="00034EA1">
      <w:pPr>
        <w:pStyle w:val="Default"/>
        <w:spacing w:line="360" w:lineRule="auto"/>
        <w:jc w:val="both"/>
        <w:rPr>
          <w:i/>
        </w:rPr>
      </w:pPr>
      <w:proofErr w:type="gramStart"/>
      <w:r w:rsidRPr="00D329E2">
        <w:rPr>
          <w:i/>
        </w:rPr>
        <w:t>6</w:t>
      </w:r>
      <w:proofErr w:type="gramEnd"/>
      <w:r w:rsidRPr="00D329E2">
        <w:rPr>
          <w:i/>
        </w:rPr>
        <w:t>) Certidão do FGTS;</w:t>
      </w:r>
    </w:p>
    <w:p w:rsidR="001D0522" w:rsidRPr="00D329E2" w:rsidRDefault="001D0522" w:rsidP="00034EA1">
      <w:pPr>
        <w:pStyle w:val="Default"/>
        <w:spacing w:line="360" w:lineRule="auto"/>
        <w:jc w:val="both"/>
        <w:rPr>
          <w:i/>
        </w:rPr>
      </w:pPr>
      <w:proofErr w:type="gramStart"/>
      <w:r w:rsidRPr="00D329E2">
        <w:rPr>
          <w:i/>
        </w:rPr>
        <w:t>7</w:t>
      </w:r>
      <w:proofErr w:type="gramEnd"/>
      <w:r w:rsidRPr="00D329E2">
        <w:rPr>
          <w:i/>
        </w:rPr>
        <w:t>) Certidão Trabalhista;</w:t>
      </w:r>
    </w:p>
    <w:p w:rsidR="000A2812" w:rsidRPr="00D329E2" w:rsidRDefault="000A2812" w:rsidP="00034EA1">
      <w:pPr>
        <w:pStyle w:val="Default"/>
        <w:spacing w:line="360" w:lineRule="auto"/>
        <w:jc w:val="both"/>
        <w:rPr>
          <w:i/>
        </w:rPr>
      </w:pPr>
      <w:proofErr w:type="gramStart"/>
      <w:r w:rsidRPr="00D329E2">
        <w:rPr>
          <w:i/>
        </w:rPr>
        <w:t>8</w:t>
      </w:r>
      <w:proofErr w:type="gramEnd"/>
      <w:r w:rsidRPr="00D329E2">
        <w:rPr>
          <w:i/>
        </w:rPr>
        <w:t>) Certidão de Falência e Concordata;</w:t>
      </w:r>
    </w:p>
    <w:p w:rsidR="000A2812" w:rsidRPr="00D329E2" w:rsidRDefault="000A2812" w:rsidP="00D329E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lastRenderedPageBreak/>
        <w:t xml:space="preserve">A vista do exposto, processo em ordem, não se </w:t>
      </w:r>
      <w:proofErr w:type="gramStart"/>
      <w:r w:rsidRPr="00D329E2">
        <w:rPr>
          <w:rFonts w:ascii="Arial" w:hAnsi="Arial" w:cs="Arial"/>
          <w:sz w:val="24"/>
          <w:szCs w:val="24"/>
        </w:rPr>
        <w:t>detectou-se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impedimentos para o prosseguimento do feito via dispensa de licitação, com fundamento no art. 24, inciso </w:t>
      </w:r>
      <w:r w:rsidRPr="00D329E2">
        <w:rPr>
          <w:rFonts w:ascii="Arial" w:hAnsi="Arial" w:cs="Arial"/>
          <w:sz w:val="24"/>
          <w:szCs w:val="24"/>
        </w:rPr>
        <w:t>IV, da Lei federal nº 8.666/93.</w:t>
      </w:r>
    </w:p>
    <w:p w:rsidR="000A2812" w:rsidRPr="00D329E2" w:rsidRDefault="000A2812" w:rsidP="00D329E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Por oportuno, cumpre reiterar a recomendação de realização de procedimentos de dispensa de licitação com fulcro no artigo 4º, da Lei Federal nº 13.979/20, recentemente alterada pela Medida Provisória nº 926, de 20 de março de 2020, cujo intuito é viabilizar as contratações necessárias ao enfrentamento da emergência de saúde pública de importância internacional </w:t>
      </w:r>
      <w:r w:rsidRPr="00D329E2">
        <w:rPr>
          <w:rFonts w:ascii="Arial" w:hAnsi="Arial" w:cs="Arial"/>
          <w:sz w:val="24"/>
          <w:szCs w:val="24"/>
        </w:rPr>
        <w:t xml:space="preserve">decorrente do novo </w:t>
      </w:r>
      <w:proofErr w:type="spellStart"/>
      <w:r w:rsidRPr="00D329E2">
        <w:rPr>
          <w:rFonts w:ascii="Arial" w:hAnsi="Arial" w:cs="Arial"/>
          <w:sz w:val="24"/>
          <w:szCs w:val="24"/>
        </w:rPr>
        <w:t>coronavírus.</w:t>
      </w:r>
      <w:proofErr w:type="spellEnd"/>
    </w:p>
    <w:p w:rsidR="000A2812" w:rsidRPr="00D329E2" w:rsidRDefault="000A2812" w:rsidP="00D329E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as referidas empresas.</w:t>
      </w:r>
    </w:p>
    <w:p w:rsidR="000A2812" w:rsidRPr="00D329E2" w:rsidRDefault="000A2812" w:rsidP="00D329E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1D0522" w:rsidRPr="00D329E2" w:rsidRDefault="000A2812" w:rsidP="00D329E2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Desterro do Melo, 19</w:t>
      </w:r>
      <w:r w:rsidR="001D0522" w:rsidRPr="00D329E2">
        <w:rPr>
          <w:rFonts w:ascii="Arial" w:hAnsi="Arial" w:cs="Arial"/>
          <w:sz w:val="24"/>
          <w:szCs w:val="24"/>
        </w:rPr>
        <w:t xml:space="preserve"> de </w:t>
      </w:r>
      <w:r w:rsidRPr="00D329E2">
        <w:rPr>
          <w:rFonts w:ascii="Arial" w:hAnsi="Arial" w:cs="Arial"/>
          <w:sz w:val="24"/>
          <w:szCs w:val="24"/>
        </w:rPr>
        <w:t>maio</w:t>
      </w:r>
      <w:r w:rsidR="001D0522" w:rsidRPr="00D329E2">
        <w:rPr>
          <w:rFonts w:ascii="Arial" w:hAnsi="Arial" w:cs="Arial"/>
          <w:sz w:val="24"/>
          <w:szCs w:val="24"/>
        </w:rPr>
        <w:t xml:space="preserve"> de 2020.</w:t>
      </w:r>
    </w:p>
    <w:p w:rsidR="001D0522" w:rsidRPr="00D329E2" w:rsidRDefault="001D0522" w:rsidP="00034EA1">
      <w:pPr>
        <w:spacing w:line="360" w:lineRule="auto"/>
        <w:rPr>
          <w:rFonts w:ascii="Arial" w:hAnsi="Arial" w:cs="Arial"/>
          <w:sz w:val="24"/>
          <w:szCs w:val="24"/>
        </w:rPr>
      </w:pPr>
    </w:p>
    <w:p w:rsidR="001D0522" w:rsidRPr="00D329E2" w:rsidRDefault="001D0522" w:rsidP="00034EA1">
      <w:pPr>
        <w:spacing w:line="360" w:lineRule="auto"/>
        <w:rPr>
          <w:rFonts w:ascii="Arial" w:hAnsi="Arial" w:cs="Arial"/>
          <w:sz w:val="24"/>
          <w:szCs w:val="24"/>
        </w:rPr>
      </w:pP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Rafaela Dornelas Couto</w:t>
      </w: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329E2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Flávio da Silva Coelho</w:t>
      </w:r>
      <w:r w:rsidRPr="00D329E2">
        <w:rPr>
          <w:rFonts w:ascii="Arial" w:hAnsi="Arial" w:cs="Arial"/>
          <w:sz w:val="24"/>
          <w:szCs w:val="24"/>
        </w:rPr>
        <w:tab/>
      </w:r>
      <w:r w:rsidRPr="00D329E2">
        <w:rPr>
          <w:rFonts w:ascii="Arial" w:hAnsi="Arial" w:cs="Arial"/>
          <w:sz w:val="24"/>
          <w:szCs w:val="24"/>
        </w:rPr>
        <w:tab/>
      </w:r>
      <w:r w:rsidRPr="00D329E2">
        <w:rPr>
          <w:rFonts w:ascii="Arial" w:hAnsi="Arial" w:cs="Arial"/>
          <w:sz w:val="24"/>
          <w:szCs w:val="24"/>
        </w:rPr>
        <w:tab/>
      </w:r>
      <w:r w:rsidRPr="00D329E2">
        <w:rPr>
          <w:rFonts w:ascii="Arial" w:hAnsi="Arial" w:cs="Arial"/>
          <w:sz w:val="24"/>
          <w:szCs w:val="24"/>
        </w:rPr>
        <w:tab/>
      </w:r>
      <w:r w:rsidRPr="00D329E2">
        <w:rPr>
          <w:rFonts w:ascii="Arial" w:hAnsi="Arial" w:cs="Arial"/>
          <w:sz w:val="24"/>
          <w:szCs w:val="24"/>
        </w:rPr>
        <w:tab/>
        <w:t>Elaine Silveira Campos</w:t>
      </w:r>
    </w:p>
    <w:p w:rsidR="001D0522" w:rsidRPr="00D329E2" w:rsidRDefault="001D0522" w:rsidP="00034EA1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D329E2">
        <w:rPr>
          <w:rFonts w:ascii="Arial" w:hAnsi="Arial" w:cs="Arial"/>
          <w:i/>
          <w:sz w:val="24"/>
          <w:szCs w:val="24"/>
        </w:rPr>
        <w:tab/>
      </w:r>
      <w:r w:rsidRPr="00D329E2">
        <w:rPr>
          <w:rFonts w:ascii="Arial" w:hAnsi="Arial" w:cs="Arial"/>
          <w:i/>
          <w:sz w:val="24"/>
          <w:szCs w:val="24"/>
        </w:rPr>
        <w:tab/>
      </w:r>
      <w:r w:rsidRPr="00D329E2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D0522" w:rsidRPr="00D329E2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34EA1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034EA1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34EA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216D8E" wp14:editId="2074B7E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22"/>
    <w:rsid w:val="00034EA1"/>
    <w:rsid w:val="000A2812"/>
    <w:rsid w:val="00100580"/>
    <w:rsid w:val="001D0522"/>
    <w:rsid w:val="002838D0"/>
    <w:rsid w:val="00573755"/>
    <w:rsid w:val="00C8662F"/>
    <w:rsid w:val="00D329E2"/>
    <w:rsid w:val="00EF766B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D05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052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D0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05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D0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D05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D0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D052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1D0522"/>
    <w:rPr>
      <w:color w:val="0000FF"/>
      <w:u w:val="single"/>
    </w:rPr>
  </w:style>
  <w:style w:type="paragraph" w:customStyle="1" w:styleId="dou-paragraph">
    <w:name w:val="dou-paragraph"/>
    <w:basedOn w:val="Normal"/>
    <w:rsid w:val="001D052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D052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E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E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D05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052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D0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05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D0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D05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D0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D052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1D0522"/>
    <w:rPr>
      <w:color w:val="0000FF"/>
      <w:u w:val="single"/>
    </w:rPr>
  </w:style>
  <w:style w:type="paragraph" w:customStyle="1" w:styleId="dou-paragraph">
    <w:name w:val="dou-paragraph"/>
    <w:basedOn w:val="Normal"/>
    <w:rsid w:val="001D052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D052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E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E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1338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</cp:revision>
  <cp:lastPrinted>2020-05-20T12:54:00Z</cp:lastPrinted>
  <dcterms:created xsi:type="dcterms:W3CDTF">2020-05-20T11:32:00Z</dcterms:created>
  <dcterms:modified xsi:type="dcterms:W3CDTF">2020-05-20T12:56:00Z</dcterms:modified>
</cp:coreProperties>
</file>