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59" w:rsidRPr="006E3F29" w:rsidRDefault="00B63659" w:rsidP="00B63659">
      <w:pPr>
        <w:ind w:right="-196"/>
        <w:jc w:val="center"/>
        <w:rPr>
          <w:rFonts w:ascii="Arial" w:eastAsia="Times New Roman" w:hAnsi="Arial" w:cs="Arial"/>
          <w:sz w:val="22"/>
          <w:szCs w:val="22"/>
        </w:rPr>
      </w:pPr>
      <w:r>
        <w:rPr>
          <w:rFonts w:ascii="Arial" w:eastAsia="Times New Roman" w:hAnsi="Arial" w:cs="Arial"/>
          <w:b/>
          <w:sz w:val="22"/>
          <w:szCs w:val="22"/>
        </w:rPr>
        <w:t xml:space="preserve">ATA DE REGISTRO DE PREÇOS Nº </w:t>
      </w:r>
      <w:r w:rsidR="00236AE6">
        <w:rPr>
          <w:rFonts w:ascii="Arial" w:eastAsia="Times New Roman" w:hAnsi="Arial" w:cs="Arial"/>
          <w:b/>
          <w:sz w:val="22"/>
          <w:szCs w:val="22"/>
        </w:rPr>
        <w:t>0</w:t>
      </w:r>
      <w:r w:rsidR="00FD4948">
        <w:rPr>
          <w:rFonts w:ascii="Arial" w:eastAsia="Times New Roman" w:hAnsi="Arial" w:cs="Arial"/>
          <w:b/>
          <w:sz w:val="22"/>
          <w:szCs w:val="22"/>
        </w:rPr>
        <w:t>08</w:t>
      </w:r>
      <w:r>
        <w:rPr>
          <w:rFonts w:ascii="Arial" w:eastAsia="Times New Roman" w:hAnsi="Arial" w:cs="Arial"/>
          <w:b/>
          <w:sz w:val="22"/>
          <w:szCs w:val="22"/>
        </w:rPr>
        <w:t>/2023</w:t>
      </w:r>
    </w:p>
    <w:p w:rsidR="00B63659" w:rsidRPr="006E3F29" w:rsidRDefault="00B63659" w:rsidP="00B63659">
      <w:pPr>
        <w:ind w:right="-196"/>
        <w:rPr>
          <w:rFonts w:ascii="Arial" w:eastAsia="Times New Roman" w:hAnsi="Arial" w:cs="Arial"/>
          <w:sz w:val="22"/>
          <w:szCs w:val="22"/>
        </w:rPr>
      </w:pPr>
    </w:p>
    <w:p w:rsidR="00B63659" w:rsidRDefault="00714075" w:rsidP="00B63659">
      <w:pPr>
        <w:spacing w:line="360" w:lineRule="auto"/>
        <w:jc w:val="both"/>
        <w:rPr>
          <w:rFonts w:ascii="Arial" w:eastAsia="Times New Roman" w:hAnsi="Arial" w:cs="Arial"/>
          <w:sz w:val="22"/>
          <w:szCs w:val="22"/>
        </w:rPr>
      </w:pPr>
      <w:r>
        <w:rPr>
          <w:rFonts w:ascii="Arial" w:eastAsia="Times New Roman" w:hAnsi="Arial" w:cs="Arial"/>
          <w:sz w:val="22"/>
          <w:szCs w:val="22"/>
        </w:rPr>
        <w:t>Aos três</w:t>
      </w:r>
      <w:r w:rsidR="00B63659" w:rsidRPr="006E3F29">
        <w:rPr>
          <w:rFonts w:ascii="Arial" w:eastAsia="Times New Roman" w:hAnsi="Arial" w:cs="Arial"/>
          <w:sz w:val="22"/>
          <w:szCs w:val="22"/>
        </w:rPr>
        <w:t xml:space="preserve"> dia</w:t>
      </w:r>
      <w:r>
        <w:rPr>
          <w:rFonts w:ascii="Arial" w:eastAsia="Times New Roman" w:hAnsi="Arial" w:cs="Arial"/>
          <w:sz w:val="22"/>
          <w:szCs w:val="22"/>
        </w:rPr>
        <w:t>s do mês de fevereiro</w:t>
      </w:r>
      <w:r w:rsidR="00B63659">
        <w:rPr>
          <w:rFonts w:ascii="Arial" w:eastAsia="Times New Roman" w:hAnsi="Arial" w:cs="Arial"/>
          <w:sz w:val="22"/>
          <w:szCs w:val="22"/>
        </w:rPr>
        <w:t xml:space="preserve"> do ano de 2023</w:t>
      </w:r>
      <w:r w:rsidR="00B63659" w:rsidRPr="006E3F29">
        <w:rPr>
          <w:rFonts w:ascii="Arial" w:eastAsia="Times New Roman" w:hAnsi="Arial" w:cs="Arial"/>
          <w:sz w:val="22"/>
          <w:szCs w:val="22"/>
        </w:rPr>
        <w:t>, o Município de Desterro do Melo Estado de Minas Gerais com sede na Av. Silvério Augusto de M</w:t>
      </w:r>
      <w:r w:rsidR="00B63659">
        <w:rPr>
          <w:rFonts w:ascii="Arial" w:eastAsia="Times New Roman" w:hAnsi="Arial" w:cs="Arial"/>
          <w:sz w:val="22"/>
          <w:szCs w:val="22"/>
        </w:rPr>
        <w:t>elo, nº 158, Bairro Fábrica, CEP</w:t>
      </w:r>
      <w:r w:rsidR="00B63659"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B63659" w:rsidRPr="006E3F29">
          <w:rPr>
            <w:rFonts w:ascii="Arial" w:eastAsia="Times New Roman" w:hAnsi="Arial" w:cs="Arial"/>
            <w:sz w:val="22"/>
            <w:szCs w:val="22"/>
          </w:rPr>
          <w:t>53 a</w:t>
        </w:r>
      </w:smartTag>
      <w:r w:rsidR="00B63659" w:rsidRPr="006E3F29">
        <w:rPr>
          <w:rFonts w:ascii="Arial" w:eastAsia="Times New Roman" w:hAnsi="Arial" w:cs="Arial"/>
          <w:sz w:val="22"/>
          <w:szCs w:val="22"/>
        </w:rPr>
        <w:t xml:space="preserve"> seguir denominado simplesmente ÓRGÃO GERENCIADOR, neste ato representado pela Sra. </w:t>
      </w:r>
      <w:r w:rsidR="00B63659" w:rsidRPr="00691C92">
        <w:rPr>
          <w:rFonts w:ascii="Arial" w:eastAsia="Times New Roman" w:hAnsi="Arial" w:cs="Arial"/>
          <w:sz w:val="22"/>
          <w:szCs w:val="22"/>
        </w:rPr>
        <w:t>MAYARA GARCIA LOPES DA SILVA TAFURI, Prefeita do Município de Desterro do Melo, portad</w:t>
      </w:r>
      <w:r w:rsidR="00B63659">
        <w:rPr>
          <w:rFonts w:ascii="Arial" w:eastAsia="Times New Roman" w:hAnsi="Arial" w:cs="Arial"/>
          <w:sz w:val="22"/>
          <w:szCs w:val="22"/>
        </w:rPr>
        <w:t xml:space="preserve">ora do CPF n° 090.468.376-10 e </w:t>
      </w:r>
      <w:r w:rsidR="00B63659" w:rsidRPr="00691C92">
        <w:rPr>
          <w:rFonts w:ascii="Arial" w:eastAsia="Times New Roman" w:hAnsi="Arial" w:cs="Arial"/>
          <w:sz w:val="22"/>
          <w:szCs w:val="22"/>
        </w:rPr>
        <w:t>MG-15.539.872 PCMG</w:t>
      </w:r>
      <w:r w:rsidR="00B63659" w:rsidRPr="006E3F29">
        <w:rPr>
          <w:rFonts w:ascii="Arial" w:eastAsia="Times New Roman" w:hAnsi="Arial" w:cs="Arial"/>
          <w:sz w:val="22"/>
          <w:szCs w:val="22"/>
        </w:rPr>
        <w:t xml:space="preserve">, institui a presente Ata de Registro de Preços (ARP), decorrente </w:t>
      </w:r>
      <w:r w:rsidR="00B63659" w:rsidRPr="00944EC2">
        <w:rPr>
          <w:rFonts w:ascii="Arial" w:hAnsi="Arial" w:cs="Arial"/>
          <w:b/>
          <w:sz w:val="22"/>
          <w:szCs w:val="22"/>
          <w:lang w:val="pt-PT"/>
        </w:rPr>
        <w:t>Processo Licitatório nº 002/2023, Pregão Presencial nº 002/2023, Registro de Preços nº 002/2023</w:t>
      </w:r>
      <w:r w:rsidR="00B63659">
        <w:rPr>
          <w:rFonts w:ascii="Arial" w:hAnsi="Arial" w:cs="Arial"/>
          <w:color w:val="000000" w:themeColor="text1"/>
          <w:sz w:val="22"/>
          <w:szCs w:val="22"/>
          <w:lang w:val="pt-PT"/>
        </w:rPr>
        <w:t>,</w:t>
      </w:r>
      <w:r w:rsidR="00B63659">
        <w:rPr>
          <w:rFonts w:ascii="Arial" w:eastAsia="Times New Roman" w:hAnsi="Arial" w:cs="Arial"/>
          <w:color w:val="FF0000"/>
          <w:sz w:val="22"/>
          <w:szCs w:val="22"/>
        </w:rPr>
        <w:t xml:space="preserve"> </w:t>
      </w:r>
      <w:r w:rsidR="00B63659">
        <w:rPr>
          <w:rFonts w:ascii="Arial" w:eastAsia="Times New Roman" w:hAnsi="Arial" w:cs="Arial"/>
          <w:sz w:val="22"/>
          <w:szCs w:val="22"/>
        </w:rPr>
        <w:t>para atendimento s Secretaria Municipal de Educação diversos Setores da Administração</w:t>
      </w:r>
      <w:r w:rsidR="00B63659"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B63659" w:rsidRPr="006E3F29" w:rsidRDefault="00B63659" w:rsidP="00B63659">
      <w:pPr>
        <w:spacing w:line="360" w:lineRule="auto"/>
        <w:jc w:val="both"/>
        <w:rPr>
          <w:rFonts w:ascii="Arial" w:eastAsia="Times New Roman" w:hAnsi="Arial" w:cs="Arial"/>
          <w:b/>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1D7B35">
        <w:rPr>
          <w:rFonts w:ascii="Arial" w:hAnsi="Arial" w:cs="Arial"/>
          <w:b/>
          <w:i/>
          <w:sz w:val="22"/>
          <w:szCs w:val="22"/>
          <w:lang w:val="pt-PT"/>
        </w:rPr>
        <w:t>AQUISIÇÃO DE MATERIAIS ESCOLARES E DE EXPEDIENTE EM ATENDIMENTO A TODAS AS SECRETARIAS MUNICIPAIS</w:t>
      </w:r>
      <w:r w:rsidRPr="004342C6">
        <w:rPr>
          <w:rFonts w:ascii="Arial" w:hAnsi="Arial" w:cs="Arial"/>
          <w:b/>
          <w:sz w:val="22"/>
          <w:szCs w:val="22"/>
          <w:lang w:val="pt-PT"/>
        </w:rPr>
        <w:t xml:space="preserve">. </w:t>
      </w:r>
      <w:r>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1) integra</w:t>
      </w:r>
      <w:r w:rsidR="00B63659" w:rsidRPr="006E3F29">
        <w:rPr>
          <w:rFonts w:ascii="Arial" w:eastAsia="Times New Roman" w:hAnsi="Arial" w:cs="Arial"/>
          <w:sz w:val="22"/>
          <w:szCs w:val="22"/>
        </w:rPr>
        <w:t xml:space="preserve"> a presente ARP na qualidade de ÓRGÃO GERENCIADOR, </w:t>
      </w:r>
      <w:r w:rsidR="00B63659">
        <w:rPr>
          <w:rFonts w:ascii="Arial" w:eastAsia="Times New Roman" w:hAnsi="Arial" w:cs="Arial"/>
          <w:sz w:val="22"/>
          <w:szCs w:val="22"/>
        </w:rPr>
        <w:t>o</w:t>
      </w:r>
      <w:r w:rsidR="00B63659" w:rsidRPr="006E3F29">
        <w:rPr>
          <w:rFonts w:ascii="Arial" w:eastAsia="Times New Roman" w:hAnsi="Arial" w:cs="Arial"/>
          <w:sz w:val="22"/>
          <w:szCs w:val="22"/>
        </w:rPr>
        <w:t xml:space="preserve"> </w:t>
      </w:r>
      <w:r w:rsidR="00B63659">
        <w:rPr>
          <w:rFonts w:ascii="Arial" w:eastAsia="Times New Roman" w:hAnsi="Arial" w:cs="Arial"/>
          <w:sz w:val="22"/>
          <w:szCs w:val="22"/>
        </w:rPr>
        <w:t>Município</w:t>
      </w:r>
      <w:r w:rsidR="00B63659" w:rsidRPr="006E3F29">
        <w:rPr>
          <w:rFonts w:ascii="Arial" w:eastAsia="Times New Roman" w:hAnsi="Arial" w:cs="Arial"/>
          <w:sz w:val="22"/>
          <w:szCs w:val="22"/>
        </w:rPr>
        <w:t xml:space="preserve"> de Desterro do Melo, </w:t>
      </w:r>
      <w:r w:rsidR="00B63659">
        <w:rPr>
          <w:rFonts w:ascii="Arial" w:eastAsia="Times New Roman" w:hAnsi="Arial" w:cs="Arial"/>
          <w:sz w:val="22"/>
          <w:szCs w:val="22"/>
        </w:rPr>
        <w:t>com sua sede na Prefeitura localizada na</w:t>
      </w:r>
      <w:r w:rsidR="00B63659" w:rsidRPr="006E3F29">
        <w:rPr>
          <w:rFonts w:ascii="Arial" w:eastAsia="Times New Roman" w:hAnsi="Arial" w:cs="Arial"/>
          <w:sz w:val="22"/>
          <w:szCs w:val="22"/>
        </w:rPr>
        <w:t xml:space="preserve"> Av. Silvério Augusto de Melo, nº 158, Bairro Fábrica, CEP: 36.210-000.</w:t>
      </w:r>
    </w:p>
    <w:p w:rsidR="00B63659" w:rsidRPr="006E3F29" w:rsidRDefault="002F6C51"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w:t>
      </w:r>
      <w:r w:rsidR="00B63659" w:rsidRPr="006E3F29">
        <w:rPr>
          <w:rFonts w:ascii="Arial" w:eastAsia="Times New Roman" w:hAnsi="Arial" w:cs="Arial"/>
          <w:sz w:val="22"/>
          <w:szCs w:val="22"/>
        </w:rPr>
        <w:t xml:space="preserve"> órgão ou entidade da Administração Pública poderá solicitar a utilização </w:t>
      </w:r>
      <w:r w:rsidRPr="006E3F29">
        <w:rPr>
          <w:rFonts w:ascii="Arial" w:eastAsia="Times New Roman" w:hAnsi="Arial" w:cs="Arial"/>
          <w:sz w:val="22"/>
          <w:szCs w:val="22"/>
        </w:rPr>
        <w:t>do presente</w:t>
      </w:r>
      <w:r w:rsidR="00B63659" w:rsidRPr="006E3F29">
        <w:rPr>
          <w:rFonts w:ascii="Arial" w:eastAsia="Times New Roman" w:hAnsi="Arial" w:cs="Arial"/>
          <w:sz w:val="22"/>
          <w:szCs w:val="22"/>
        </w:rPr>
        <w:t xml:space="preserve"> ARP, independentemente da participação ou não na licitação, desde que aceitas e formalizadas as exigências da Lei.</w:t>
      </w:r>
    </w:p>
    <w:p w:rsidR="00B63659" w:rsidRPr="006E3F29" w:rsidRDefault="002F6C51" w:rsidP="00B63659">
      <w:pPr>
        <w:ind w:right="-196"/>
        <w:jc w:val="both"/>
        <w:rPr>
          <w:rFonts w:ascii="Arial" w:eastAsia="Times New Roman" w:hAnsi="Arial" w:cs="Arial"/>
          <w:sz w:val="22"/>
          <w:szCs w:val="22"/>
        </w:rPr>
      </w:pPr>
      <w:r w:rsidRPr="006E3F29">
        <w:rPr>
          <w:rFonts w:ascii="Arial" w:eastAsia="Times New Roman" w:hAnsi="Arial" w:cs="Arial"/>
          <w:sz w:val="22"/>
          <w:szCs w:val="22"/>
        </w:rPr>
        <w:t>3) integra</w:t>
      </w:r>
      <w:r w:rsidR="00B63659" w:rsidRPr="006E3F29">
        <w:rPr>
          <w:rFonts w:ascii="Arial" w:eastAsia="Times New Roman" w:hAnsi="Arial" w:cs="Arial"/>
          <w:sz w:val="22"/>
          <w:szCs w:val="22"/>
        </w:rPr>
        <w:t xml:space="preserve"> a presente ARP na qualidade de FORNECEDOR a empresa:</w:t>
      </w:r>
    </w:p>
    <w:p w:rsidR="002F6C51" w:rsidRDefault="002F6C51" w:rsidP="00B63659">
      <w:pPr>
        <w:pStyle w:val="Corpodetexto"/>
      </w:pPr>
      <w:r>
        <w:rPr>
          <w:b/>
        </w:rPr>
        <w:t xml:space="preserve">TELAMIR COMERCIO E SERVIÇOS DE ELETRO-ELETRONICOS E INFORMATICA, </w:t>
      </w:r>
      <w:r>
        <w:t>inscrito no CNPJ nº10.202.559/0001-58, sediada na Rua Major João Camilo, nº65 centro, Senhora de Oliveira, Minas Gerais, CEP 36.470-000.</w:t>
      </w:r>
    </w:p>
    <w:p w:rsidR="00B63659" w:rsidRPr="006E3F29" w:rsidRDefault="00B63659" w:rsidP="00B63659">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B63659" w:rsidRDefault="00B63659" w:rsidP="00B63659">
      <w:pPr>
        <w:spacing w:line="360" w:lineRule="auto"/>
        <w:ind w:right="-196"/>
        <w:jc w:val="both"/>
        <w:rPr>
          <w:rFonts w:ascii="Arial" w:eastAsia="Times New Roman" w:hAnsi="Arial" w:cs="Arial"/>
          <w:sz w:val="22"/>
          <w:szCs w:val="22"/>
        </w:rPr>
      </w:pPr>
    </w:p>
    <w:p w:rsidR="00B63659" w:rsidRDefault="00B63659" w:rsidP="00B63659">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63659"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D4948" w:rsidRPr="00FD4948" w:rsidRDefault="00FD4948" w:rsidP="00B63659">
      <w:pPr>
        <w:ind w:right="-196"/>
        <w:jc w:val="both"/>
        <w:rPr>
          <w:rFonts w:ascii="Arial" w:hAnsi="Arial" w:cs="Arial"/>
          <w:sz w:val="22"/>
          <w:szCs w:val="22"/>
        </w:rPr>
      </w:pPr>
      <w:r w:rsidRPr="00FD4948">
        <w:rPr>
          <w:rFonts w:ascii="Arial" w:hAnsi="Arial" w:cs="Arial"/>
          <w:sz w:val="22"/>
          <w:szCs w:val="22"/>
        </w:rPr>
        <w:t xml:space="preserve">Vencedora para os itens 3, 4, 5, 6, 53, 132, 144, 145, 146, 148, 190, 191, 192, 193, 194, 195, 196, 198, 226, 230, 243, 340, 343, 344, 373, 380, 382, 387, 392, 393, 397 a empresa </w:t>
      </w:r>
      <w:r w:rsidRPr="00FD4948">
        <w:rPr>
          <w:rFonts w:ascii="Arial" w:hAnsi="Arial" w:cs="Arial"/>
          <w:b/>
          <w:sz w:val="22"/>
          <w:szCs w:val="22"/>
        </w:rPr>
        <w:t xml:space="preserve">TELAMIR COMERCIO E SERVIÇOS DE ELETRO-ELETRONICOS E INFORMATICA, </w:t>
      </w:r>
      <w:r w:rsidRPr="00FD4948">
        <w:rPr>
          <w:rFonts w:ascii="Arial" w:hAnsi="Arial" w:cs="Arial"/>
          <w:sz w:val="22"/>
          <w:szCs w:val="22"/>
        </w:rPr>
        <w:t>inscrito no CNPJ nº10.202.559/0001-58, sediada na Rua Major João Camilo, nº65 centro, Senhora de Oliveira, Minas Gerais, CEP 36.470-000, com o valor total de R$9839,95 (nove mil e oitocentos e trinta e nove reais e noventa e cinco centavos);</w:t>
      </w:r>
    </w:p>
    <w:p w:rsidR="00B63659" w:rsidRPr="009B1751" w:rsidRDefault="00B63659" w:rsidP="00B63659">
      <w:pPr>
        <w:ind w:right="-196"/>
        <w:jc w:val="both"/>
        <w:rPr>
          <w:rFonts w:ascii="Arial" w:hAnsi="Arial" w:cs="Arial"/>
          <w:sz w:val="22"/>
          <w:szCs w:val="22"/>
        </w:rPr>
      </w:pPr>
      <w:r w:rsidRPr="009B1751">
        <w:rPr>
          <w:rFonts w:ascii="Arial" w:hAnsi="Arial" w:cs="Arial"/>
          <w:sz w:val="22"/>
          <w:szCs w:val="22"/>
        </w:rPr>
        <w:t>N</w:t>
      </w:r>
      <w:r>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63659" w:rsidRPr="006E3F29" w:rsidRDefault="00B63659" w:rsidP="00B63659">
      <w:pPr>
        <w:ind w:right="-196"/>
        <w:jc w:val="both"/>
        <w:rPr>
          <w:rFonts w:ascii="Arial" w:eastAsia="Times New Roman" w:hAnsi="Arial" w:cs="Arial"/>
          <w:b/>
          <w:sz w:val="22"/>
          <w:szCs w:val="22"/>
        </w:rPr>
      </w:pPr>
    </w:p>
    <w:p w:rsidR="00B6365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Gerenciar</w:t>
      </w:r>
      <w:proofErr w:type="gramEnd"/>
      <w:r w:rsidRPr="006E3F29">
        <w:rPr>
          <w:rFonts w:ascii="Arial" w:eastAsia="Times New Roman" w:hAnsi="Arial" w:cs="Arial"/>
          <w:sz w:val="22"/>
          <w:szCs w:val="22"/>
        </w:rPr>
        <w:t xml:space="preserve"> a presente ARP, indicando, sempre que solicitado, os nomes dos fornecedores, os preços, os quantitativos disponíveis e as especificações dos materiais registrados, observada a ordem de classificação indicada na licitação;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Convocar</w:t>
      </w:r>
      <w:proofErr w:type="gramEnd"/>
      <w:r w:rsidRPr="006E3F29">
        <w:rPr>
          <w:rFonts w:ascii="Arial" w:eastAsia="Times New Roman" w:hAnsi="Arial" w:cs="Arial"/>
          <w:sz w:val="22"/>
          <w:szCs w:val="22"/>
        </w:rPr>
        <w:t xml:space="preserve">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63659" w:rsidRPr="006E3F29" w:rsidRDefault="00B63659" w:rsidP="00B63659">
      <w:pPr>
        <w:spacing w:line="360" w:lineRule="auto"/>
        <w:ind w:right="-196"/>
        <w:jc w:val="both"/>
        <w:rPr>
          <w:rFonts w:ascii="Arial" w:eastAsia="Times New Roman" w:hAnsi="Arial" w:cs="Arial"/>
          <w:sz w:val="22"/>
          <w:szCs w:val="22"/>
        </w:rPr>
      </w:pPr>
      <w:bookmarkStart w:id="0" w:name="2"/>
      <w:bookmarkEnd w:id="0"/>
      <w:proofErr w:type="gramStart"/>
      <w:r w:rsidRPr="006E3F29">
        <w:rPr>
          <w:rFonts w:ascii="Arial" w:eastAsia="Times New Roman" w:hAnsi="Arial" w:cs="Arial"/>
          <w:sz w:val="22"/>
          <w:szCs w:val="22"/>
        </w:rPr>
        <w:t>c) Observar</w:t>
      </w:r>
      <w:proofErr w:type="gramEnd"/>
      <w:r w:rsidRPr="006E3F29">
        <w:rPr>
          <w:rFonts w:ascii="Arial" w:eastAsia="Times New Roman" w:hAnsi="Arial" w:cs="Arial"/>
          <w:sz w:val="22"/>
          <w:szCs w:val="22"/>
        </w:rPr>
        <w:t xml:space="preserve">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Conduzir</w:t>
      </w:r>
      <w:proofErr w:type="gramEnd"/>
      <w:r w:rsidRPr="006E3F29">
        <w:rPr>
          <w:rFonts w:ascii="Arial" w:eastAsia="Times New Roman" w:hAnsi="Arial" w:cs="Arial"/>
          <w:sz w:val="22"/>
          <w:szCs w:val="22"/>
        </w:rPr>
        <w:t xml:space="preserve"> eventuais procedimentos administrativos de renegociação de preços registrados, para fins de adequação às novas condições de mercado;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Consultar</w:t>
      </w:r>
      <w:proofErr w:type="gramEnd"/>
      <w:r w:rsidRPr="006E3F29">
        <w:rPr>
          <w:rFonts w:ascii="Arial" w:eastAsia="Times New Roman" w:hAnsi="Arial" w:cs="Arial"/>
          <w:sz w:val="22"/>
          <w:szCs w:val="22"/>
        </w:rPr>
        <w:t xml:space="preserve">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f) Acompanhar e fiscalizar</w:t>
      </w:r>
      <w:proofErr w:type="gramEnd"/>
      <w:r w:rsidRPr="006E3F29">
        <w:rPr>
          <w:rFonts w:ascii="Arial" w:eastAsia="Times New Roman" w:hAnsi="Arial" w:cs="Arial"/>
          <w:sz w:val="22"/>
          <w:szCs w:val="22"/>
        </w:rPr>
        <w:t xml:space="preserve"> o cumprimento das condições ajustadas no edital da licitação e na presente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Designar</w:t>
      </w:r>
      <w:proofErr w:type="gramEnd"/>
      <w:r w:rsidRPr="006E3F29">
        <w:rPr>
          <w:rFonts w:ascii="Arial" w:eastAsia="Times New Roman" w:hAnsi="Arial" w:cs="Arial"/>
          <w:sz w:val="22"/>
          <w:szCs w:val="22"/>
        </w:rPr>
        <w:t xml:space="preserve">,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FD4948">
        <w:rPr>
          <w:rFonts w:ascii="Arial" w:eastAsia="Times New Roman" w:hAnsi="Arial" w:cs="Arial"/>
          <w:sz w:val="22"/>
          <w:szCs w:val="22"/>
        </w:rPr>
        <w:t xml:space="preserve">inatura, vigorando até o dia </w:t>
      </w:r>
      <w:r w:rsidR="00085F1E">
        <w:rPr>
          <w:rFonts w:ascii="Arial" w:eastAsia="Times New Roman" w:hAnsi="Arial" w:cs="Arial"/>
          <w:sz w:val="22"/>
          <w:szCs w:val="22"/>
        </w:rPr>
        <w:t>02</w:t>
      </w:r>
      <w:bookmarkStart w:id="1" w:name="_GoBack"/>
      <w:bookmarkEnd w:id="1"/>
      <w:r w:rsidR="00FD4948">
        <w:rPr>
          <w:rFonts w:ascii="Arial" w:eastAsia="Times New Roman" w:hAnsi="Arial" w:cs="Arial"/>
          <w:sz w:val="22"/>
          <w:szCs w:val="22"/>
        </w:rPr>
        <w:t xml:space="preserve"> de fevereiro</w:t>
      </w:r>
      <w:r>
        <w:rPr>
          <w:rFonts w:ascii="Arial" w:eastAsia="Times New Roman" w:hAnsi="Arial" w:cs="Arial"/>
          <w:sz w:val="22"/>
          <w:szCs w:val="22"/>
        </w:rPr>
        <w:t xml:space="preserve"> de 2024</w:t>
      </w:r>
      <w:r w:rsidRPr="006E3F29">
        <w:rPr>
          <w:rFonts w:ascii="Arial" w:eastAsia="Times New Roman" w:hAnsi="Arial" w:cs="Arial"/>
          <w:sz w:val="22"/>
          <w:szCs w:val="22"/>
        </w:rPr>
        <w:t>.</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w:t>
      </w:r>
      <w:proofErr w:type="gramStart"/>
      <w:r w:rsidRPr="006E3F29">
        <w:rPr>
          <w:rFonts w:ascii="Arial" w:eastAsia="Times New Roman" w:hAnsi="Arial" w:cs="Arial"/>
          <w:sz w:val="22"/>
          <w:szCs w:val="22"/>
        </w:rPr>
        <w:t>o(</w:t>
      </w:r>
      <w:proofErr w:type="gramEnd"/>
      <w:r w:rsidRPr="006E3F29">
        <w:rPr>
          <w:rFonts w:ascii="Arial" w:eastAsia="Times New Roman" w:hAnsi="Arial" w:cs="Arial"/>
          <w:sz w:val="22"/>
          <w:szCs w:val="22"/>
        </w:rPr>
        <w:t>s) fornecedor(es), como também as possíveis alterações da presente ARP, serão publicadas no Diário Oficial do Município de Desterro do Melo e site oficial do Município.</w:t>
      </w:r>
    </w:p>
    <w:p w:rsidR="00B63659" w:rsidRDefault="00B63659" w:rsidP="00B63659">
      <w:pPr>
        <w:ind w:right="-196"/>
        <w:jc w:val="both"/>
        <w:rPr>
          <w:rFonts w:ascii="Arial" w:eastAsia="Times New Roman" w:hAnsi="Arial" w:cs="Arial"/>
          <w:sz w:val="22"/>
          <w:szCs w:val="22"/>
        </w:rPr>
      </w:pPr>
      <w:bookmarkStart w:id="2" w:name="6"/>
      <w:bookmarkEnd w:id="2"/>
    </w:p>
    <w:p w:rsidR="00B63659" w:rsidRPr="001A6BDA" w:rsidRDefault="00B63659" w:rsidP="00B63659">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 - Desde que devidamente justificada a vantagem, esta Ata de Registro de Preços, durante sua vigência, poderá ser utilizada por qualquer órgão ou entidade da </w:t>
      </w:r>
      <w:r w:rsidRPr="001A6BDA">
        <w:rPr>
          <w:rFonts w:ascii="Arial" w:hAnsi="Arial" w:cs="Arial"/>
          <w:sz w:val="22"/>
          <w:szCs w:val="22"/>
        </w:rPr>
        <w:lastRenderedPageBreak/>
        <w:t>Administração Pública que não tenha participado do certame licitatório, mediante anuência do Órgão Gerenciador.</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63659" w:rsidRPr="001A6BDA" w:rsidRDefault="00B63659" w:rsidP="00B63659">
      <w:pPr>
        <w:ind w:right="-196"/>
        <w:jc w:val="both"/>
        <w:rPr>
          <w:rFonts w:ascii="Arial" w:hAnsi="Arial" w:cs="Arial"/>
          <w:sz w:val="22"/>
          <w:szCs w:val="22"/>
        </w:rPr>
      </w:pPr>
    </w:p>
    <w:p w:rsidR="00B63659" w:rsidRPr="001A6BDA" w:rsidRDefault="00B63659" w:rsidP="00B63659">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63659" w:rsidRPr="001A6BDA" w:rsidRDefault="00B63659" w:rsidP="00B63659">
      <w:pPr>
        <w:ind w:right="-196"/>
        <w:jc w:val="both"/>
        <w:rPr>
          <w:rFonts w:ascii="Arial" w:hAnsi="Arial" w:cs="Arial"/>
          <w:sz w:val="22"/>
          <w:szCs w:val="22"/>
        </w:rPr>
      </w:pPr>
    </w:p>
    <w:p w:rsidR="00B63659" w:rsidRDefault="00B63659" w:rsidP="00B63659">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63659" w:rsidRPr="001A6BDA" w:rsidRDefault="00B63659" w:rsidP="00B63659">
      <w:pPr>
        <w:ind w:right="-196"/>
        <w:jc w:val="both"/>
        <w:rPr>
          <w:rFonts w:ascii="Arial" w:eastAsia="Times New Roman" w:hAnsi="Arial" w:cs="Arial"/>
          <w:b/>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6365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Não</w:t>
      </w:r>
      <w:proofErr w:type="gramEnd"/>
      <w:r w:rsidRPr="006E3F29">
        <w:rPr>
          <w:rFonts w:ascii="Arial" w:eastAsia="Times New Roman" w:hAnsi="Arial" w:cs="Arial"/>
          <w:sz w:val="22"/>
          <w:szCs w:val="22"/>
        </w:rPr>
        <w:t xml:space="preserve"> cumprir as exigências do instrumento convocatório da licitação supracitada e as condições da presente ARP; </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 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Der</w:t>
      </w:r>
      <w:proofErr w:type="gramEnd"/>
      <w:r w:rsidRPr="006E3F29">
        <w:rPr>
          <w:rFonts w:ascii="Arial" w:eastAsia="Times New Roman" w:hAnsi="Arial" w:cs="Arial"/>
          <w:sz w:val="22"/>
          <w:szCs w:val="22"/>
        </w:rPr>
        <w:t xml:space="preserve"> causa à rescisão administrativa decorrente desta ARP;</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d) Em</w:t>
      </w:r>
      <w:proofErr w:type="gramEnd"/>
      <w:r w:rsidRPr="006E3F29">
        <w:rPr>
          <w:rFonts w:ascii="Arial" w:eastAsia="Times New Roman" w:hAnsi="Arial" w:cs="Arial"/>
          <w:sz w:val="22"/>
          <w:szCs w:val="22"/>
        </w:rPr>
        <w:t xml:space="preserve"> qualquer das hipóteses de inexecução total ou parcial relativa ao presente Registro de Preços;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e) Não</w:t>
      </w:r>
      <w:proofErr w:type="gramEnd"/>
      <w:r w:rsidRPr="006E3F29">
        <w:rPr>
          <w:rFonts w:ascii="Arial" w:eastAsia="Times New Roman" w:hAnsi="Arial" w:cs="Arial"/>
          <w:sz w:val="22"/>
          <w:szCs w:val="22"/>
        </w:rPr>
        <w:t xml:space="preserve"> manutenção das condições de habilitação e compatibilidade;</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f) Não</w:t>
      </w:r>
      <w:proofErr w:type="gramEnd"/>
      <w:r w:rsidRPr="006E3F29">
        <w:rPr>
          <w:rFonts w:ascii="Arial" w:eastAsia="Times New Roman" w:hAnsi="Arial" w:cs="Arial"/>
          <w:sz w:val="22"/>
          <w:szCs w:val="22"/>
        </w:rPr>
        <w:t xml:space="preserve"> aceitar a redução dos preços registrados, nas hipóteses previstas na legislação;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Em</w:t>
      </w:r>
      <w:proofErr w:type="gramEnd"/>
      <w:r w:rsidRPr="006E3F29">
        <w:rPr>
          <w:rFonts w:ascii="Arial" w:eastAsia="Times New Roman" w:hAnsi="Arial" w:cs="Arial"/>
          <w:sz w:val="22"/>
          <w:szCs w:val="22"/>
        </w:rPr>
        <w:t xml:space="preserve"> razões de interesse público, devidamente justificadas.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 Não</w:t>
      </w:r>
      <w:proofErr w:type="gramEnd"/>
      <w:r w:rsidRPr="006E3F29">
        <w:rPr>
          <w:rFonts w:ascii="Arial" w:eastAsia="Times New Roman" w:hAnsi="Arial" w:cs="Arial"/>
          <w:sz w:val="22"/>
          <w:szCs w:val="22"/>
        </w:rPr>
        <w:t xml:space="preserve"> fornecer os materiais em compatibilidade com as condições de quantidade e qualidade;</w:t>
      </w:r>
    </w:p>
    <w:p w:rsidR="00B6365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i) Não</w:t>
      </w:r>
      <w:proofErr w:type="gramEnd"/>
      <w:r w:rsidRPr="006E3F29">
        <w:rPr>
          <w:rFonts w:ascii="Arial" w:eastAsia="Times New Roman" w:hAnsi="Arial" w:cs="Arial"/>
          <w:sz w:val="22"/>
          <w:szCs w:val="22"/>
        </w:rPr>
        <w:t xml:space="preserve">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63659" w:rsidRPr="006E3F29" w:rsidRDefault="00B63659"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w:t>
      </w:r>
      <w:proofErr w:type="gramStart"/>
      <w:r w:rsidRPr="006E3F29">
        <w:rPr>
          <w:rFonts w:ascii="Arial" w:eastAsia="Times New Roman" w:hAnsi="Arial" w:cs="Arial"/>
          <w:sz w:val="22"/>
          <w:szCs w:val="22"/>
        </w:rPr>
        <w:t>item(</w:t>
      </w:r>
      <w:proofErr w:type="gramEnd"/>
      <w:r w:rsidRPr="006E3F29">
        <w:rPr>
          <w:rFonts w:ascii="Arial" w:eastAsia="Times New Roman" w:hAnsi="Arial" w:cs="Arial"/>
          <w:sz w:val="22"/>
          <w:szCs w:val="22"/>
        </w:rPr>
        <w:t>s)/contratação, a Contratada que:</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assinar o contrato ou a ata de registro de preços;</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entregar a documentação exigida no edital;</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apresentar</w:t>
      </w:r>
      <w:proofErr w:type="gramEnd"/>
      <w:r w:rsidRPr="00EF2F3C">
        <w:rPr>
          <w:rFonts w:ascii="Arial" w:eastAsia="Times New Roman" w:hAnsi="Arial" w:cs="Arial"/>
          <w:color w:val="000000" w:themeColor="text1"/>
          <w:sz w:val="22"/>
          <w:szCs w:val="22"/>
        </w:rPr>
        <w:t xml:space="preserve"> documentação falsa;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w:t>
      </w:r>
      <w:proofErr w:type="gramStart"/>
      <w:r w:rsidRPr="00EF2F3C">
        <w:rPr>
          <w:rFonts w:ascii="Arial" w:eastAsia="Times New Roman" w:hAnsi="Arial" w:cs="Arial"/>
          <w:color w:val="000000" w:themeColor="text1"/>
          <w:sz w:val="22"/>
          <w:szCs w:val="22"/>
        </w:rPr>
        <w:t>)  causar</w:t>
      </w:r>
      <w:proofErr w:type="gramEnd"/>
      <w:r w:rsidRPr="00EF2F3C">
        <w:rPr>
          <w:rFonts w:ascii="Arial" w:eastAsia="Times New Roman" w:hAnsi="Arial" w:cs="Arial"/>
          <w:color w:val="000000" w:themeColor="text1"/>
          <w:sz w:val="22"/>
          <w:szCs w:val="22"/>
        </w:rPr>
        <w:t xml:space="preserve"> o atraso na execução do objeto;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w:t>
      </w:r>
      <w:proofErr w:type="gramStart"/>
      <w:r w:rsidRPr="00EF2F3C">
        <w:rPr>
          <w:rFonts w:ascii="Arial" w:eastAsia="Times New Roman" w:hAnsi="Arial" w:cs="Arial"/>
          <w:color w:val="000000" w:themeColor="text1"/>
          <w:sz w:val="22"/>
          <w:szCs w:val="22"/>
        </w:rPr>
        <w:t>)  não</w:t>
      </w:r>
      <w:proofErr w:type="gramEnd"/>
      <w:r w:rsidRPr="00EF2F3C">
        <w:rPr>
          <w:rFonts w:ascii="Arial" w:eastAsia="Times New Roman" w:hAnsi="Arial" w:cs="Arial"/>
          <w:color w:val="000000" w:themeColor="text1"/>
          <w:sz w:val="22"/>
          <w:szCs w:val="22"/>
        </w:rPr>
        <w:t xml:space="preserve"> mantiver a proposta;</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w:t>
      </w:r>
      <w:proofErr w:type="gramStart"/>
      <w:r w:rsidRPr="00EF2F3C">
        <w:rPr>
          <w:rFonts w:ascii="Arial" w:eastAsia="Times New Roman" w:hAnsi="Arial" w:cs="Arial"/>
          <w:color w:val="000000" w:themeColor="text1"/>
          <w:sz w:val="22"/>
          <w:szCs w:val="22"/>
        </w:rPr>
        <w:t>)  falhar</w:t>
      </w:r>
      <w:proofErr w:type="gramEnd"/>
      <w:r w:rsidRPr="00EF2F3C">
        <w:rPr>
          <w:rFonts w:ascii="Arial" w:eastAsia="Times New Roman" w:hAnsi="Arial" w:cs="Arial"/>
          <w:color w:val="000000" w:themeColor="text1"/>
          <w:sz w:val="22"/>
          <w:szCs w:val="22"/>
        </w:rPr>
        <w:t xml:space="preserve"> na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w:t>
      </w:r>
      <w:proofErr w:type="gramStart"/>
      <w:r w:rsidRPr="00EF2F3C">
        <w:rPr>
          <w:rFonts w:ascii="Arial" w:eastAsia="Times New Roman" w:hAnsi="Arial" w:cs="Arial"/>
          <w:color w:val="000000" w:themeColor="text1"/>
          <w:sz w:val="22"/>
          <w:szCs w:val="22"/>
        </w:rPr>
        <w:t>)  fraudar</w:t>
      </w:r>
      <w:proofErr w:type="gramEnd"/>
      <w:r w:rsidRPr="00EF2F3C">
        <w:rPr>
          <w:rFonts w:ascii="Arial" w:eastAsia="Times New Roman" w:hAnsi="Arial" w:cs="Arial"/>
          <w:color w:val="000000" w:themeColor="text1"/>
          <w:sz w:val="22"/>
          <w:szCs w:val="22"/>
        </w:rPr>
        <w:t xml:space="preserve"> a execução do contrato;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w:t>
      </w:r>
      <w:proofErr w:type="gramStart"/>
      <w:r w:rsidRPr="00EF2F3C">
        <w:rPr>
          <w:rFonts w:ascii="Arial" w:eastAsia="Times New Roman" w:hAnsi="Arial" w:cs="Arial"/>
          <w:color w:val="000000" w:themeColor="text1"/>
          <w:sz w:val="22"/>
          <w:szCs w:val="22"/>
        </w:rPr>
        <w:t>)  comportar</w:t>
      </w:r>
      <w:proofErr w:type="gramEnd"/>
      <w:r w:rsidRPr="00EF2F3C">
        <w:rPr>
          <w:rFonts w:ascii="Arial" w:eastAsia="Times New Roman" w:hAnsi="Arial" w:cs="Arial"/>
          <w:color w:val="000000" w:themeColor="text1"/>
          <w:sz w:val="22"/>
          <w:szCs w:val="22"/>
        </w:rPr>
        <w:t>-se de modo inidôneo;</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b.8</w:t>
      </w:r>
      <w:proofErr w:type="gramStart"/>
      <w:r w:rsidRPr="00EF2F3C">
        <w:rPr>
          <w:rFonts w:ascii="Arial" w:eastAsia="Times New Roman" w:hAnsi="Arial" w:cs="Arial"/>
          <w:color w:val="000000" w:themeColor="text1"/>
          <w:sz w:val="22"/>
          <w:szCs w:val="22"/>
        </w:rPr>
        <w:t>)  declarar</w:t>
      </w:r>
      <w:proofErr w:type="gramEnd"/>
      <w:r w:rsidRPr="00EF2F3C">
        <w:rPr>
          <w:rFonts w:ascii="Arial" w:eastAsia="Times New Roman" w:hAnsi="Arial" w:cs="Arial"/>
          <w:color w:val="000000" w:themeColor="text1"/>
          <w:sz w:val="22"/>
          <w:szCs w:val="22"/>
        </w:rPr>
        <w:t xml:space="preserve"> informações falsas; </w:t>
      </w:r>
    </w:p>
    <w:p w:rsidR="00B63659" w:rsidRPr="00EF2F3C" w:rsidRDefault="00B63659" w:rsidP="00B63659">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b.9</w:t>
      </w:r>
      <w:proofErr w:type="gramStart"/>
      <w:r w:rsidRPr="00EF2F3C">
        <w:rPr>
          <w:rFonts w:ascii="Arial" w:eastAsia="Times New Roman" w:hAnsi="Arial" w:cs="Arial"/>
          <w:color w:val="000000" w:themeColor="text1"/>
          <w:sz w:val="22"/>
          <w:szCs w:val="22"/>
        </w:rPr>
        <w:t>)  cometer</w:t>
      </w:r>
      <w:proofErr w:type="gramEnd"/>
      <w:r w:rsidRPr="00EF2F3C">
        <w:rPr>
          <w:rFonts w:ascii="Arial" w:eastAsia="Times New Roman" w:hAnsi="Arial" w:cs="Arial"/>
          <w:color w:val="000000" w:themeColor="text1"/>
          <w:sz w:val="22"/>
          <w:szCs w:val="22"/>
        </w:rPr>
        <w:t xml:space="preserve"> fraude fiscal.</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 Para</w:t>
      </w:r>
      <w:proofErr w:type="gramEnd"/>
      <w:r w:rsidRPr="006E3F29">
        <w:rPr>
          <w:rFonts w:ascii="Arial" w:eastAsia="Times New Roman" w:hAnsi="Arial" w:cs="Arial"/>
          <w:sz w:val="22"/>
          <w:szCs w:val="22"/>
        </w:rPr>
        <w:t xml:space="preserve">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63659" w:rsidRPr="00EF2F3C" w:rsidRDefault="00B63659" w:rsidP="00B63659">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g) As</w:t>
      </w:r>
      <w:proofErr w:type="gramEnd"/>
      <w:r w:rsidRPr="006E3F29">
        <w:rPr>
          <w:rFonts w:ascii="Arial" w:eastAsia="Times New Roman" w:hAnsi="Arial" w:cs="Arial"/>
          <w:sz w:val="22"/>
          <w:szCs w:val="22"/>
        </w:rPr>
        <w:t xml:space="preserve"> sanções estabelecidas nesta cláusula são da competência exclusiva da autoridade designada nos normativos internos da Administração, facultada a defesa do interessado no respectivo processo, no prazo de 10 (dez) dias da efetiva notificação.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63659" w:rsidRPr="006E3F29" w:rsidRDefault="00B63659" w:rsidP="00B63659">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k) As</w:t>
      </w:r>
      <w:proofErr w:type="gramEnd"/>
      <w:r w:rsidRPr="006E3F29">
        <w:rPr>
          <w:rFonts w:ascii="Arial" w:eastAsia="Times New Roman" w:hAnsi="Arial" w:cs="Arial"/>
          <w:sz w:val="22"/>
          <w:szCs w:val="22"/>
        </w:rPr>
        <w:t xml:space="preserve"> penalidades estabelecidas nestas cláusulas deverão ser registradas no Setor de Compras e Jurídico do Município de Desterro do Melo.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B63659" w:rsidRPr="00E60432" w:rsidRDefault="00B63659" w:rsidP="00B63659">
      <w:pPr>
        <w:spacing w:line="360" w:lineRule="auto"/>
        <w:ind w:right="-196"/>
        <w:jc w:val="both"/>
        <w:rPr>
          <w:rFonts w:ascii="Arial" w:eastAsia="Times New Roman" w:hAnsi="Arial" w:cs="Arial"/>
          <w:sz w:val="22"/>
          <w:szCs w:val="22"/>
        </w:rPr>
      </w:pPr>
      <w:bookmarkStart w:id="3" w:name="8"/>
      <w:bookmarkEnd w:id="3"/>
      <w:r w:rsidRPr="00E60432">
        <w:rPr>
          <w:rFonts w:ascii="Arial" w:eastAsia="Times New Roman" w:hAnsi="Arial" w:cs="Arial"/>
          <w:sz w:val="22"/>
          <w:szCs w:val="22"/>
        </w:rPr>
        <w:t>a) Processo Administrativo nº 002/2023;</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b) Edital do Pregão Presencial nº 002/2023 e anexos;</w:t>
      </w:r>
    </w:p>
    <w:p w:rsidR="00B63659" w:rsidRPr="00E60432" w:rsidRDefault="00B63659" w:rsidP="00B63659">
      <w:pPr>
        <w:spacing w:line="360" w:lineRule="auto"/>
        <w:ind w:right="-196"/>
        <w:jc w:val="both"/>
        <w:rPr>
          <w:rFonts w:ascii="Arial" w:eastAsia="Times New Roman" w:hAnsi="Arial" w:cs="Arial"/>
          <w:sz w:val="22"/>
          <w:szCs w:val="22"/>
        </w:rPr>
      </w:pPr>
      <w:r w:rsidRPr="00E60432">
        <w:rPr>
          <w:rFonts w:ascii="Arial" w:eastAsia="Times New Roman" w:hAnsi="Arial" w:cs="Arial"/>
          <w:sz w:val="22"/>
          <w:szCs w:val="22"/>
        </w:rPr>
        <w:t>c) Registro de Preços nº 002/2023;</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63659" w:rsidRPr="006E3F29" w:rsidRDefault="00B63659" w:rsidP="00B63659">
      <w:pPr>
        <w:ind w:right="-196"/>
        <w:jc w:val="both"/>
        <w:rPr>
          <w:rFonts w:ascii="Arial" w:eastAsia="Times New Roman" w:hAnsi="Arial" w:cs="Arial"/>
          <w:sz w:val="22"/>
          <w:szCs w:val="22"/>
        </w:rPr>
      </w:pPr>
    </w:p>
    <w:p w:rsidR="00B63659" w:rsidRPr="006E3F29" w:rsidRDefault="00B63659" w:rsidP="00B63659">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63659" w:rsidRPr="006E3F2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63659" w:rsidRDefault="00B63659" w:rsidP="00B63659">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63659" w:rsidRDefault="00B63659" w:rsidP="00B63659">
      <w:pPr>
        <w:spacing w:line="360" w:lineRule="auto"/>
        <w:ind w:right="-196"/>
        <w:jc w:val="both"/>
        <w:rPr>
          <w:rFonts w:ascii="Arial" w:eastAsia="Times New Roman" w:hAnsi="Arial" w:cs="Arial"/>
          <w:sz w:val="22"/>
          <w:szCs w:val="22"/>
        </w:rPr>
      </w:pPr>
    </w:p>
    <w:p w:rsidR="00B63659" w:rsidRDefault="00FD4948" w:rsidP="00B63659">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03 de fevereiro</w:t>
      </w:r>
      <w:r w:rsidR="00B63659">
        <w:rPr>
          <w:rFonts w:ascii="Arial" w:eastAsia="Times New Roman" w:hAnsi="Arial" w:cs="Arial"/>
          <w:sz w:val="22"/>
          <w:szCs w:val="22"/>
        </w:rPr>
        <w:t xml:space="preserve"> de 2023.</w:t>
      </w:r>
    </w:p>
    <w:p w:rsidR="00B63659" w:rsidRDefault="00B63659" w:rsidP="00B63659">
      <w:pPr>
        <w:spacing w:line="360" w:lineRule="auto"/>
        <w:ind w:right="-196"/>
        <w:jc w:val="both"/>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63659" w:rsidRPr="00833A8D" w:rsidRDefault="00B63659" w:rsidP="00FD4948">
      <w:pPr>
        <w:ind w:right="-196"/>
        <w:jc w:val="center"/>
        <w:rPr>
          <w:rFonts w:ascii="Arial" w:eastAsia="Times New Roman" w:hAnsi="Arial" w:cs="Arial"/>
          <w:b/>
          <w:sz w:val="22"/>
          <w:szCs w:val="22"/>
        </w:rPr>
      </w:pPr>
      <w:r w:rsidRPr="00833A8D">
        <w:rPr>
          <w:rFonts w:ascii="Arial" w:eastAsia="Times New Roman" w:hAnsi="Arial" w:cs="Arial"/>
          <w:b/>
          <w:sz w:val="22"/>
          <w:szCs w:val="22"/>
        </w:rPr>
        <w:t>MAYARA GARCIA</w:t>
      </w:r>
      <w:r w:rsidRPr="00EB7D3F">
        <w:rPr>
          <w:rFonts w:ascii="Arial" w:eastAsia="Times New Roman" w:hAnsi="Arial" w:cs="Arial"/>
          <w:b/>
          <w:sz w:val="22"/>
          <w:szCs w:val="22"/>
        </w:rPr>
        <w:t xml:space="preserve"> </w:t>
      </w:r>
      <w:r w:rsidRPr="00833A8D">
        <w:rPr>
          <w:rFonts w:ascii="Arial" w:eastAsia="Times New Roman" w:hAnsi="Arial" w:cs="Arial"/>
          <w:b/>
          <w:sz w:val="22"/>
          <w:szCs w:val="22"/>
        </w:rPr>
        <w:t>LOPES DA SILVA TAFURI</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B63659" w:rsidRDefault="00B63659" w:rsidP="00FD4948">
      <w:pPr>
        <w:ind w:right="-196"/>
        <w:jc w:val="center"/>
        <w:rPr>
          <w:rFonts w:ascii="Arial" w:eastAsia="Times New Roman"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FD4948" w:rsidP="00FD4948">
      <w:pPr>
        <w:ind w:right="-196"/>
        <w:jc w:val="center"/>
        <w:rPr>
          <w:rFonts w:ascii="Arial" w:hAnsi="Arial" w:cs="Arial"/>
          <w:sz w:val="22"/>
          <w:szCs w:val="22"/>
        </w:rPr>
      </w:pPr>
      <w:r w:rsidRPr="00FD4948">
        <w:rPr>
          <w:rFonts w:ascii="Arial" w:hAnsi="Arial" w:cs="Arial"/>
          <w:b/>
          <w:sz w:val="22"/>
          <w:szCs w:val="22"/>
        </w:rPr>
        <w:t>TELAMIR COMERCIO E SERVIÇOS DE EL</w:t>
      </w:r>
      <w:r>
        <w:rPr>
          <w:rFonts w:ascii="Arial" w:hAnsi="Arial" w:cs="Arial"/>
          <w:b/>
          <w:sz w:val="22"/>
          <w:szCs w:val="22"/>
        </w:rPr>
        <w:t>ETRO-ELETRONICOS E INFORMATICA</w:t>
      </w:r>
      <w:r w:rsidRPr="00FD4948">
        <w:rPr>
          <w:rFonts w:ascii="Arial" w:hAnsi="Arial" w:cs="Arial"/>
          <w:sz w:val="22"/>
          <w:szCs w:val="22"/>
        </w:rPr>
        <w:t xml:space="preserve"> CNPJ nº10.202.559/0001-58</w:t>
      </w:r>
    </w:p>
    <w:p w:rsidR="00FD4948" w:rsidRDefault="00FD4948" w:rsidP="00FD4948">
      <w:pPr>
        <w:ind w:right="-196"/>
        <w:jc w:val="center"/>
        <w:rPr>
          <w:rFonts w:ascii="Arial" w:hAnsi="Arial" w:cs="Arial"/>
          <w:sz w:val="22"/>
          <w:szCs w:val="22"/>
        </w:rPr>
      </w:pPr>
    </w:p>
    <w:p w:rsidR="00FD4948" w:rsidRDefault="00FD4948" w:rsidP="00FD4948">
      <w:pPr>
        <w:ind w:right="-196"/>
        <w:jc w:val="center"/>
        <w:rPr>
          <w:rFonts w:ascii="Arial" w:hAnsi="Arial" w:cs="Arial"/>
          <w:sz w:val="22"/>
          <w:szCs w:val="22"/>
        </w:rPr>
      </w:pPr>
    </w:p>
    <w:p w:rsidR="00FD4948" w:rsidRPr="00FD4948" w:rsidRDefault="00FD4948" w:rsidP="00FD4948">
      <w:pPr>
        <w:ind w:right="-196"/>
        <w:jc w:val="center"/>
        <w:rPr>
          <w:rFonts w:ascii="Arial" w:hAnsi="Arial" w:cs="Arial"/>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B63659" w:rsidRDefault="00B63659" w:rsidP="00FD4948">
      <w:pPr>
        <w:ind w:right="-196"/>
        <w:jc w:val="center"/>
        <w:rPr>
          <w:rFonts w:ascii="Arial" w:hAnsi="Arial" w:cs="Arial"/>
          <w:b/>
          <w:sz w:val="22"/>
          <w:szCs w:val="22"/>
        </w:rPr>
      </w:pPr>
    </w:p>
    <w:p w:rsidR="00FD4948" w:rsidRDefault="00FD4948" w:rsidP="00FD4948">
      <w:pPr>
        <w:ind w:right="-196"/>
        <w:jc w:val="center"/>
        <w:rPr>
          <w:rFonts w:ascii="Arial" w:hAnsi="Arial" w:cs="Arial"/>
          <w:b/>
          <w:sz w:val="22"/>
          <w:szCs w:val="22"/>
        </w:rPr>
      </w:pPr>
    </w:p>
    <w:p w:rsidR="00B63659" w:rsidRPr="006E3F29" w:rsidRDefault="00B63659" w:rsidP="00FD494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63659" w:rsidRDefault="00B63659" w:rsidP="00FD4948">
      <w:pPr>
        <w:ind w:right="-196"/>
        <w:jc w:val="center"/>
        <w:rPr>
          <w:rFonts w:ascii="Arial" w:hAnsi="Arial" w:cs="Arial"/>
          <w:b/>
          <w:sz w:val="22"/>
          <w:szCs w:val="22"/>
        </w:rPr>
      </w:pPr>
      <w:r>
        <w:rPr>
          <w:rFonts w:ascii="Arial" w:hAnsi="Arial" w:cs="Arial"/>
          <w:b/>
          <w:sz w:val="22"/>
          <w:szCs w:val="22"/>
        </w:rPr>
        <w:t>TESTEMUNHA /CPF</w:t>
      </w:r>
    </w:p>
    <w:p w:rsidR="002D602F" w:rsidRPr="00B63659" w:rsidRDefault="002D602F" w:rsidP="00B63659">
      <w:pPr>
        <w:spacing w:after="200" w:line="276" w:lineRule="auto"/>
        <w:rPr>
          <w:rFonts w:ascii="Arial" w:eastAsia="Times New Roman" w:hAnsi="Arial" w:cs="Arial"/>
          <w:b/>
          <w:sz w:val="22"/>
          <w:szCs w:val="22"/>
        </w:rPr>
      </w:pPr>
    </w:p>
    <w:sectPr w:rsidR="002D602F" w:rsidRPr="00B636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1A" w:rsidRDefault="00340D1A" w:rsidP="00B63659">
      <w:r>
        <w:separator/>
      </w:r>
    </w:p>
  </w:endnote>
  <w:endnote w:type="continuationSeparator" w:id="0">
    <w:p w:rsidR="00340D1A" w:rsidRDefault="00340D1A" w:rsidP="00B6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1A" w:rsidRDefault="00340D1A" w:rsidP="00B63659">
      <w:r>
        <w:separator/>
      </w:r>
    </w:p>
  </w:footnote>
  <w:footnote w:type="continuationSeparator" w:id="0">
    <w:p w:rsidR="00340D1A" w:rsidRDefault="00340D1A" w:rsidP="00B63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Default="00B63659" w:rsidP="00B6365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308552" wp14:editId="537748CB">
                <wp:simplePos x="0" y="0"/>
                <wp:positionH relativeFrom="column">
                  <wp:posOffset>-19685</wp:posOffset>
                </wp:positionH>
                <wp:positionV relativeFrom="paragraph">
                  <wp:posOffset>27766</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600" cy="954183"/>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F65609" w:rsidRDefault="00B63659" w:rsidP="00B6365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B63659" w:rsidTr="00B63659">
      <w:trPr>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after="120" w:line="276" w:lineRule="auto"/>
            <w:rPr>
              <w:rFonts w:eastAsia="Times New Roman"/>
              <w:sz w:val="22"/>
              <w:szCs w:val="22"/>
              <w:lang w:eastAsia="en-US"/>
            </w:rPr>
          </w:pPr>
          <w:r w:rsidRPr="00AA27DE">
            <w:rPr>
              <w:rFonts w:eastAsia="Times New Roman"/>
              <w:sz w:val="22"/>
              <w:szCs w:val="22"/>
              <w:lang w:eastAsia="en-US"/>
            </w:rPr>
            <w:t>PROCESSO DE LICITAÇÃO – 002/2023</w:t>
          </w:r>
        </w:p>
      </w:tc>
    </w:tr>
    <w:tr w:rsidR="00B63659" w:rsidTr="00B63659">
      <w:trPr>
        <w:cantSplit/>
        <w:jc w:val="center"/>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B63659" w:rsidRPr="00AA27DE" w:rsidRDefault="00B63659" w:rsidP="00B63659">
          <w:pPr>
            <w:pStyle w:val="Ttulo1"/>
            <w:spacing w:before="120" w:line="276" w:lineRule="auto"/>
            <w:ind w:left="262"/>
            <w:rPr>
              <w:rFonts w:eastAsia="Times New Roman" w:cs="Arial"/>
              <w:sz w:val="16"/>
              <w:szCs w:val="16"/>
              <w:lang w:eastAsia="en-US"/>
            </w:rPr>
          </w:pPr>
          <w:r w:rsidRPr="00AA27DE">
            <w:rPr>
              <w:rFonts w:eastAsia="Times New Roman" w:cs="Arial"/>
              <w:sz w:val="16"/>
              <w:szCs w:val="16"/>
              <w:lang w:eastAsia="en-US"/>
            </w:rPr>
            <w:t>PREGÃO PRESENCIAL</w:t>
          </w:r>
          <w:r w:rsidRPr="00AA27DE">
            <w:rPr>
              <w:rFonts w:cs="Arial"/>
              <w:sz w:val="16"/>
              <w:szCs w:val="16"/>
              <w:lang w:eastAsia="en-US"/>
            </w:rPr>
            <w:t xml:space="preserve"> Nº. 002/2023</w:t>
          </w:r>
        </w:p>
      </w:tc>
    </w:tr>
    <w:tr w:rsidR="00B63659" w:rsidTr="00B63659">
      <w:trPr>
        <w:cantSplit/>
        <w:trHeight w:val="920"/>
        <w:jc w:val="center"/>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Pr="00AA27DE" w:rsidRDefault="00B63659" w:rsidP="00B63659">
          <w:pPr>
            <w:spacing w:after="120" w:line="276" w:lineRule="auto"/>
            <w:jc w:val="center"/>
            <w:rPr>
              <w:rFonts w:ascii="Arial" w:hAnsi="Arial" w:cs="Arial"/>
              <w:b/>
              <w:bCs/>
              <w:sz w:val="16"/>
              <w:szCs w:val="16"/>
              <w:lang w:val="pt-PT"/>
            </w:rPr>
          </w:pPr>
          <w:r w:rsidRPr="00AA27DE">
            <w:rPr>
              <w:rFonts w:ascii="Arial" w:hAnsi="Arial" w:cs="Arial"/>
              <w:b/>
              <w:bCs/>
              <w:sz w:val="16"/>
              <w:szCs w:val="16"/>
              <w:lang w:val="pt-PT"/>
            </w:rPr>
            <w:t>REGISTRO DE PREÇOS Nº 002/2023</w:t>
          </w:r>
        </w:p>
        <w:p w:rsidR="00B63659" w:rsidRPr="00AA27DE" w:rsidRDefault="00B63659" w:rsidP="00B63659">
          <w:pPr>
            <w:spacing w:after="120" w:line="276" w:lineRule="auto"/>
            <w:jc w:val="center"/>
            <w:rPr>
              <w:rFonts w:ascii="Arial" w:hAnsi="Arial" w:cs="Arial"/>
              <w:sz w:val="16"/>
              <w:szCs w:val="16"/>
              <w:lang w:eastAsia="en-US"/>
            </w:rPr>
          </w:pPr>
          <w:r w:rsidRPr="00AA27DE">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B63659" w:rsidRDefault="00B63659" w:rsidP="00B63659">
          <w:pPr>
            <w:spacing w:after="120" w:line="276" w:lineRule="auto"/>
            <w:jc w:val="both"/>
            <w:rPr>
              <w:rFonts w:ascii="Arial" w:hAnsi="Arial" w:cs="Arial"/>
              <w:b/>
              <w:sz w:val="16"/>
              <w:szCs w:val="16"/>
              <w:lang w:eastAsia="en-US"/>
            </w:rPr>
          </w:pPr>
          <w:r w:rsidRPr="009F28F8">
            <w:rPr>
              <w:rFonts w:ascii="Arial" w:hAnsi="Arial" w:cs="Arial"/>
              <w:b/>
              <w:color w:val="000000" w:themeColor="text1"/>
              <w:sz w:val="16"/>
              <w:szCs w:val="16"/>
            </w:rPr>
            <w:t>AQUISIÇÃO DE MATERIAIS ESCOLARES E DE EXPEDIENTE EM ATENDIMENTO A TODAS AS SECRETARIAS MUNICIPAIS</w:t>
          </w:r>
          <w:r>
            <w:rPr>
              <w:rFonts w:ascii="Arial" w:hAnsi="Arial" w:cs="Arial"/>
              <w:b/>
              <w:color w:val="000000" w:themeColor="text1"/>
              <w:sz w:val="16"/>
              <w:szCs w:val="16"/>
            </w:rPr>
            <w:t>.</w:t>
          </w:r>
        </w:p>
      </w:tc>
    </w:tr>
  </w:tbl>
  <w:p w:rsidR="00B63659" w:rsidRDefault="00B636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59"/>
    <w:rsid w:val="00085F1E"/>
    <w:rsid w:val="000E2CEC"/>
    <w:rsid w:val="00236AE6"/>
    <w:rsid w:val="002D602F"/>
    <w:rsid w:val="002F6C51"/>
    <w:rsid w:val="00340D1A"/>
    <w:rsid w:val="0036470B"/>
    <w:rsid w:val="00714075"/>
    <w:rsid w:val="00B63659"/>
    <w:rsid w:val="00FD4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F1A7BFE"/>
  <w15:chartTrackingRefBased/>
  <w15:docId w15:val="{64663C4A-705A-4C2D-85D2-912B297C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5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9"/>
    <w:qFormat/>
    <w:rsid w:val="00B63659"/>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6365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63659"/>
    <w:rPr>
      <w:rFonts w:ascii="Arial" w:eastAsia="Batang" w:hAnsi="Arial" w:cs="Arial"/>
      <w:lang w:val="pt-PT" w:eastAsia="pt-BR"/>
    </w:rPr>
  </w:style>
  <w:style w:type="paragraph" w:styleId="Cabealho">
    <w:name w:val="header"/>
    <w:basedOn w:val="Normal"/>
    <w:link w:val="CabealhoChar"/>
    <w:uiPriority w:val="99"/>
    <w:unhideWhenUsed/>
    <w:rsid w:val="00B63659"/>
    <w:pPr>
      <w:tabs>
        <w:tab w:val="center" w:pos="4252"/>
        <w:tab w:val="right" w:pos="8504"/>
      </w:tabs>
    </w:pPr>
  </w:style>
  <w:style w:type="character" w:customStyle="1" w:styleId="CabealhoChar">
    <w:name w:val="Cabeçalho Char"/>
    <w:basedOn w:val="Fontepargpadro"/>
    <w:link w:val="Cabealho"/>
    <w:uiPriority w:val="99"/>
    <w:rsid w:val="00B63659"/>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B63659"/>
    <w:pPr>
      <w:tabs>
        <w:tab w:val="center" w:pos="4252"/>
        <w:tab w:val="right" w:pos="8504"/>
      </w:tabs>
    </w:pPr>
  </w:style>
  <w:style w:type="character" w:customStyle="1" w:styleId="RodapChar">
    <w:name w:val="Rodapé Char"/>
    <w:basedOn w:val="Fontepargpadro"/>
    <w:link w:val="Rodap"/>
    <w:uiPriority w:val="99"/>
    <w:rsid w:val="00B63659"/>
    <w:rPr>
      <w:rFonts w:ascii="Times New Roman" w:eastAsia="Batang" w:hAnsi="Times New Roman" w:cs="Times New Roman"/>
      <w:sz w:val="20"/>
      <w:szCs w:val="20"/>
      <w:lang w:eastAsia="pt-BR"/>
    </w:rPr>
  </w:style>
  <w:style w:type="character" w:customStyle="1" w:styleId="Ttulo1Char">
    <w:name w:val="Título 1 Char"/>
    <w:basedOn w:val="Fontepargpadro"/>
    <w:link w:val="Ttulo1"/>
    <w:uiPriority w:val="9"/>
    <w:rsid w:val="00B63659"/>
    <w:rPr>
      <w:rFonts w:ascii="Arial" w:eastAsia="Batang" w:hAnsi="Arial"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233B-3F08-4C52-BC52-D66D7BE2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2169</Words>
  <Characters>11716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2023-02-06T16:23:00Z</dcterms:created>
  <dcterms:modified xsi:type="dcterms:W3CDTF">2023-02-07T17:50:00Z</dcterms:modified>
</cp:coreProperties>
</file>