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C" w:rsidRPr="0040076F" w:rsidRDefault="00C07BDC" w:rsidP="001F3887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CELEBRAM</w:t>
      </w:r>
      <w:r w:rsidR="00CA315A">
        <w:rPr>
          <w:rFonts w:ascii="Arial" w:hAnsi="Arial" w:cs="Arial"/>
          <w:b/>
          <w:i/>
          <w:sz w:val="22"/>
          <w:szCs w:val="22"/>
        </w:rPr>
        <w:t xml:space="preserve"> </w:t>
      </w:r>
      <w:r w:rsidR="00F25AF4" w:rsidRPr="00995C05">
        <w:rPr>
          <w:rFonts w:ascii="Arial" w:hAnsi="Arial" w:cs="Arial"/>
          <w:b/>
          <w:i/>
          <w:sz w:val="22"/>
          <w:szCs w:val="22"/>
          <w:u w:val="single"/>
        </w:rPr>
        <w:t>EVANE ORLANDO FERNANDES</w:t>
      </w:r>
      <w:r w:rsidRPr="00CA315A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CA315A">
        <w:rPr>
          <w:rFonts w:ascii="Arial" w:hAnsi="Arial" w:cs="Arial"/>
          <w:b/>
          <w:i/>
          <w:sz w:val="22"/>
          <w:szCs w:val="22"/>
        </w:rPr>
        <w:t>E A PREFEITURA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MUNICIPAL DE DESTERRO DO MELO ESTADO DE MINAS GERAIS.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03117E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3117E">
        <w:rPr>
          <w:rFonts w:ascii="Arial" w:hAnsi="Arial" w:cs="Arial"/>
          <w:sz w:val="22"/>
          <w:szCs w:val="22"/>
        </w:rPr>
        <w:t xml:space="preserve">CONTRATO Nº - </w:t>
      </w:r>
      <w:r w:rsidR="0003117E" w:rsidRPr="0003117E">
        <w:rPr>
          <w:rFonts w:ascii="Arial" w:hAnsi="Arial" w:cs="Arial"/>
          <w:sz w:val="22"/>
          <w:szCs w:val="22"/>
        </w:rPr>
        <w:t>10</w:t>
      </w:r>
      <w:r w:rsidR="00F25AF4">
        <w:rPr>
          <w:rFonts w:ascii="Arial" w:hAnsi="Arial" w:cs="Arial"/>
          <w:sz w:val="22"/>
          <w:szCs w:val="22"/>
        </w:rPr>
        <w:t>4</w:t>
      </w:r>
      <w:r w:rsidRPr="0003117E">
        <w:rPr>
          <w:rFonts w:ascii="Arial" w:hAnsi="Arial" w:cs="Arial"/>
          <w:sz w:val="22"/>
          <w:szCs w:val="22"/>
        </w:rPr>
        <w:t>/2019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r w:rsidR="00892F80" w:rsidRPr="00995C05">
        <w:rPr>
          <w:rFonts w:ascii="Arial" w:hAnsi="Arial" w:cs="Arial"/>
          <w:b/>
          <w:sz w:val="22"/>
          <w:szCs w:val="22"/>
        </w:rPr>
        <w:t>EVANE ORLANDO FERNANDES</w:t>
      </w:r>
      <w:r w:rsidR="00892F80" w:rsidRPr="00892F80">
        <w:rPr>
          <w:rFonts w:ascii="Arial" w:hAnsi="Arial" w:cs="Arial"/>
          <w:sz w:val="22"/>
          <w:szCs w:val="22"/>
        </w:rPr>
        <w:t xml:space="preserve">, portador do RG 402885910 SSP/SP e do CPF: 307.520.398-06, residente e domiciliado na Rua Dr. José </w:t>
      </w:r>
      <w:proofErr w:type="spellStart"/>
      <w:r w:rsidR="00892F80" w:rsidRPr="00892F80">
        <w:rPr>
          <w:rFonts w:ascii="Arial" w:hAnsi="Arial" w:cs="Arial"/>
          <w:sz w:val="22"/>
          <w:szCs w:val="22"/>
        </w:rPr>
        <w:t>Edwardes</w:t>
      </w:r>
      <w:proofErr w:type="spellEnd"/>
      <w:r w:rsidR="00892F80" w:rsidRPr="00892F80">
        <w:rPr>
          <w:rFonts w:ascii="Arial" w:hAnsi="Arial" w:cs="Arial"/>
          <w:sz w:val="22"/>
          <w:szCs w:val="22"/>
        </w:rPr>
        <w:t xml:space="preserve"> Ribeiro, nº 527, Boa Vista, Barbacena, Minas Gerais, CEP: 36.205-252</w:t>
      </w:r>
      <w:r w:rsidR="000B5E62" w:rsidRPr="000B5E62">
        <w:rPr>
          <w:rFonts w:ascii="Arial" w:hAnsi="Arial" w:cs="Arial"/>
          <w:sz w:val="22"/>
          <w:szCs w:val="22"/>
        </w:rPr>
        <w:t>,</w:t>
      </w:r>
      <w:proofErr w:type="gramStart"/>
      <w:r w:rsidRPr="0040076F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denominado </w:t>
      </w:r>
      <w:r w:rsidRPr="0040076F">
        <w:rPr>
          <w:rFonts w:ascii="Arial" w:hAnsi="Arial" w:cs="Arial"/>
          <w:b/>
          <w:sz w:val="22"/>
          <w:szCs w:val="22"/>
        </w:rPr>
        <w:t>cessionário,</w:t>
      </w:r>
      <w:r w:rsidRPr="0040076F">
        <w:rPr>
          <w:rFonts w:ascii="Arial" w:hAnsi="Arial" w:cs="Arial"/>
          <w:sz w:val="22"/>
          <w:szCs w:val="22"/>
        </w:rPr>
        <w:t xml:space="preserve"> de conformidade com a Licitação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40076F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40076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0076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C07BDC" w:rsidRPr="0040076F" w:rsidRDefault="00C07BDC" w:rsidP="001F388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07BDC" w:rsidRPr="003A0ADF" w:rsidRDefault="00C07BDC" w:rsidP="001F388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é de R$ </w:t>
      </w:r>
      <w:r w:rsidR="00DF06EA">
        <w:rPr>
          <w:rFonts w:ascii="Arial" w:hAnsi="Arial" w:cs="Arial"/>
          <w:sz w:val="22"/>
          <w:szCs w:val="22"/>
          <w:lang w:val="pt-PT"/>
        </w:rPr>
        <w:t>1.750</w:t>
      </w:r>
      <w:r w:rsidR="00E22EB1" w:rsidRPr="003A0ADF">
        <w:rPr>
          <w:rFonts w:ascii="Arial" w:hAnsi="Arial" w:cs="Arial"/>
          <w:sz w:val="22"/>
          <w:szCs w:val="22"/>
          <w:lang w:val="pt-PT"/>
        </w:rPr>
        <w:t>,00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 (</w:t>
      </w:r>
      <w:r w:rsidR="00DF06EA">
        <w:rPr>
          <w:rFonts w:ascii="Arial" w:hAnsi="Arial" w:cs="Arial"/>
          <w:sz w:val="22"/>
          <w:szCs w:val="22"/>
          <w:lang w:val="pt-PT"/>
        </w:rPr>
        <w:t>mil setecentos e cinquenta</w:t>
      </w:r>
      <w:r w:rsidR="007C6E14">
        <w:rPr>
          <w:rFonts w:ascii="Arial" w:hAnsi="Arial" w:cs="Arial"/>
          <w:sz w:val="22"/>
          <w:szCs w:val="22"/>
          <w:lang w:val="pt-PT"/>
        </w:rPr>
        <w:t xml:space="preserve"> </w:t>
      </w:r>
      <w:r w:rsidR="00E22EB1" w:rsidRPr="003A0ADF">
        <w:rPr>
          <w:rFonts w:ascii="Arial" w:hAnsi="Arial" w:cs="Arial"/>
          <w:sz w:val="22"/>
          <w:szCs w:val="22"/>
          <w:lang w:val="pt-PT"/>
        </w:rPr>
        <w:t>reais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3A0ADF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3A0ADF">
        <w:rPr>
          <w:rFonts w:ascii="Arial" w:hAnsi="Arial" w:cs="Arial"/>
          <w:sz w:val="22"/>
          <w:szCs w:val="22"/>
          <w:lang w:val="pt-PT"/>
        </w:rPr>
        <w:t xml:space="preserve"> Praça de Alimentação, nos termos da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 oferta proposta do CESSIONÁRIO,</w:t>
      </w:r>
      <w:r w:rsidR="00133098"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referente ao </w:t>
      </w:r>
      <w:r w:rsidR="00133098" w:rsidRPr="00995C05">
        <w:rPr>
          <w:rFonts w:ascii="Arial" w:hAnsi="Arial" w:cs="Arial"/>
          <w:b/>
          <w:sz w:val="22"/>
          <w:szCs w:val="22"/>
          <w:lang w:val="pt-PT"/>
        </w:rPr>
        <w:t>LOTE</w:t>
      </w:r>
      <w:r w:rsidR="0093393E" w:rsidRPr="00995C05">
        <w:rPr>
          <w:rFonts w:ascii="Arial" w:hAnsi="Arial" w:cs="Arial"/>
          <w:b/>
          <w:sz w:val="22"/>
          <w:szCs w:val="22"/>
          <w:lang w:val="pt-PT"/>
        </w:rPr>
        <w:t>/BARRACA</w:t>
      </w:r>
      <w:r w:rsidR="00133098" w:rsidRPr="00995C05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11359C" w:rsidRPr="00995C05">
        <w:rPr>
          <w:rFonts w:ascii="Arial" w:hAnsi="Arial" w:cs="Arial"/>
          <w:b/>
          <w:sz w:val="22"/>
          <w:szCs w:val="22"/>
          <w:lang w:val="pt-PT"/>
        </w:rPr>
        <w:t>2</w:t>
      </w:r>
      <w:r w:rsidR="00892F80" w:rsidRPr="00995C05">
        <w:rPr>
          <w:rFonts w:ascii="Arial" w:hAnsi="Arial" w:cs="Arial"/>
          <w:b/>
          <w:sz w:val="22"/>
          <w:szCs w:val="22"/>
          <w:lang w:val="pt-PT"/>
        </w:rPr>
        <w:t>7</w:t>
      </w:r>
      <w:r w:rsidR="001B4FD9" w:rsidRPr="003A0ADF">
        <w:rPr>
          <w:rFonts w:ascii="Arial" w:hAnsi="Arial" w:cs="Arial"/>
          <w:sz w:val="22"/>
          <w:szCs w:val="22"/>
          <w:lang w:val="pt-PT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proofErr w:type="gramEnd"/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07BDC" w:rsidRPr="0040076F" w:rsidRDefault="00C07BDC" w:rsidP="001F3887">
      <w:pPr>
        <w:pStyle w:val="Recuodecorpodetexto3"/>
        <w:tabs>
          <w:tab w:val="left" w:pos="0"/>
        </w:tabs>
        <w:ind w:firstLine="0"/>
      </w:pPr>
      <w:proofErr w:type="gramStart"/>
      <w:r w:rsidRPr="0040076F">
        <w:rPr>
          <w:b/>
        </w:rPr>
        <w:t>4</w:t>
      </w:r>
      <w:proofErr w:type="gramEnd"/>
      <w:r w:rsidRPr="0040076F">
        <w:rPr>
          <w:b/>
        </w:rPr>
        <w:t xml:space="preserve">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6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C07BDC" w:rsidRPr="0040076F" w:rsidRDefault="00C07BDC" w:rsidP="001F388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7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C07BDC" w:rsidRPr="0040076F" w:rsidRDefault="00C07BDC" w:rsidP="001F3887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8</w:t>
      </w:r>
      <w:proofErr w:type="gramEnd"/>
      <w:r w:rsidRPr="0040076F">
        <w:rPr>
          <w:rFonts w:ascii="Arial" w:hAnsi="Arial" w:cs="Arial"/>
          <w:b/>
          <w:sz w:val="22"/>
          <w:szCs w:val="22"/>
        </w:rPr>
        <w:t>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40076F">
        <w:rPr>
          <w:rFonts w:ascii="Arial" w:hAnsi="Arial" w:cs="Arial"/>
          <w:sz w:val="22"/>
          <w:szCs w:val="22"/>
        </w:rPr>
        <w:t>Será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07BDC" w:rsidRPr="0040076F" w:rsidRDefault="00C07BDC" w:rsidP="001F388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motos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R$ 10,00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de até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R$ 20,00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acima de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R$ 35,00</w:t>
      </w:r>
      <w:proofErr w:type="gramEnd"/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4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07BDC" w:rsidRPr="0040076F" w:rsidRDefault="00C07BDC" w:rsidP="001F388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0076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07BDC" w:rsidRPr="0040076F" w:rsidRDefault="00C07BDC" w:rsidP="001F3887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07BDC" w:rsidRPr="0040076F" w:rsidRDefault="00C07BDC" w:rsidP="001F388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07BDC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="0040076F" w:rsidRPr="0040076F">
        <w:rPr>
          <w:rFonts w:ascii="Arial" w:hAnsi="Arial" w:cs="Arial"/>
          <w:sz w:val="22"/>
          <w:szCs w:val="22"/>
          <w:lang w:val="pt-PT"/>
        </w:rPr>
        <w:t>, 14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</w:t>
      </w:r>
      <w:r w:rsidR="0040076F" w:rsidRPr="0040076F">
        <w:rPr>
          <w:rFonts w:ascii="Arial" w:hAnsi="Arial" w:cs="Arial"/>
          <w:sz w:val="22"/>
          <w:szCs w:val="22"/>
          <w:lang w:val="pt-PT"/>
        </w:rPr>
        <w:t>agosto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2019.</w:t>
      </w:r>
    </w:p>
    <w:p w:rsidR="00C07BDC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C07BDC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0076F" w:rsidRPr="0040076F" w:rsidRDefault="0040076F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CESSIONÁRIO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Default="00C07BDC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1F3887" w:rsidRPr="0040076F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D19D3" w:rsidRDefault="00C07BDC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 w:rsidR="001F388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1F3887"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AF0AA4" w:rsidRDefault="00AF0AA4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13EF" w:rsidRDefault="002213EF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13EF" w:rsidRDefault="002213EF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13EF" w:rsidRPr="00AF0AA4" w:rsidRDefault="002213EF" w:rsidP="002213E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AF0AA4">
        <w:rPr>
          <w:rFonts w:ascii="Arial" w:hAnsi="Arial" w:cs="Arial"/>
          <w:i/>
          <w:snapToGrid w:val="0"/>
          <w:sz w:val="22"/>
          <w:szCs w:val="22"/>
        </w:rPr>
        <w:lastRenderedPageBreak/>
        <w:t>EXTRATO DE PUBLICAÇÃO DE CONTRATO</w:t>
      </w:r>
    </w:p>
    <w:p w:rsidR="002213EF" w:rsidRPr="00AF0AA4" w:rsidRDefault="002213EF" w:rsidP="002213E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F0AA4">
        <w:rPr>
          <w:rFonts w:ascii="Arial" w:hAnsi="Arial" w:cs="Arial"/>
          <w:bCs/>
          <w:i/>
          <w:sz w:val="22"/>
          <w:szCs w:val="22"/>
        </w:rPr>
        <w:t>CONTRATO Nº:</w:t>
      </w:r>
      <w:r w:rsidR="00F10CEE" w:rsidRPr="00AF0AA4">
        <w:rPr>
          <w:rFonts w:ascii="Arial" w:hAnsi="Arial" w:cs="Arial"/>
          <w:i/>
          <w:sz w:val="22"/>
          <w:szCs w:val="22"/>
        </w:rPr>
        <w:t xml:space="preserve"> 104</w:t>
      </w:r>
      <w:r w:rsidRPr="00AF0AA4">
        <w:rPr>
          <w:rFonts w:ascii="Arial" w:hAnsi="Arial" w:cs="Arial"/>
          <w:i/>
          <w:sz w:val="22"/>
          <w:szCs w:val="22"/>
        </w:rPr>
        <w:t>/2019</w:t>
      </w:r>
    </w:p>
    <w:p w:rsidR="002213EF" w:rsidRPr="00AF0AA4" w:rsidRDefault="002213EF" w:rsidP="002213E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F0AA4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2213EF" w:rsidRPr="00AF0AA4" w:rsidRDefault="002213EF" w:rsidP="002213E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F0AA4">
        <w:rPr>
          <w:rFonts w:ascii="Arial" w:hAnsi="Arial" w:cs="Arial"/>
          <w:i/>
          <w:sz w:val="22"/>
          <w:szCs w:val="22"/>
        </w:rPr>
        <w:t xml:space="preserve">CONTRATADA: </w:t>
      </w:r>
      <w:bookmarkStart w:id="0" w:name="_GoBack"/>
      <w:r w:rsidR="00F10CEE" w:rsidRPr="00263FA5">
        <w:rPr>
          <w:rFonts w:ascii="Arial" w:hAnsi="Arial" w:cs="Arial"/>
          <w:b/>
          <w:i/>
          <w:sz w:val="22"/>
          <w:szCs w:val="22"/>
          <w:u w:val="single"/>
        </w:rPr>
        <w:t>EVANE ORLANDO FERNANDES</w:t>
      </w:r>
      <w:bookmarkEnd w:id="0"/>
      <w:r w:rsidR="00F10CEE" w:rsidRPr="00AF0AA4">
        <w:rPr>
          <w:rFonts w:ascii="Arial" w:hAnsi="Arial" w:cs="Arial"/>
          <w:i/>
          <w:sz w:val="22"/>
          <w:szCs w:val="22"/>
        </w:rPr>
        <w:t xml:space="preserve">, portador do RG 402885910 SSP/SP e do CPF: 307.520.398-06, residente e domiciliado na Rua Dr. José </w:t>
      </w:r>
      <w:proofErr w:type="spellStart"/>
      <w:r w:rsidR="00F10CEE" w:rsidRPr="00AF0AA4">
        <w:rPr>
          <w:rFonts w:ascii="Arial" w:hAnsi="Arial" w:cs="Arial"/>
          <w:i/>
          <w:sz w:val="22"/>
          <w:szCs w:val="22"/>
        </w:rPr>
        <w:t>Edwardes</w:t>
      </w:r>
      <w:proofErr w:type="spellEnd"/>
      <w:r w:rsidR="00F10CEE" w:rsidRPr="00AF0AA4">
        <w:rPr>
          <w:rFonts w:ascii="Arial" w:hAnsi="Arial" w:cs="Arial"/>
          <w:i/>
          <w:sz w:val="22"/>
          <w:szCs w:val="22"/>
        </w:rPr>
        <w:t xml:space="preserve"> Ribeiro, nº 527, Boa Vista, Barbacena, Minas Gerais, CEP: 36.205-252</w:t>
      </w:r>
      <w:r w:rsidRPr="00AF0AA4">
        <w:rPr>
          <w:rFonts w:ascii="Arial" w:hAnsi="Arial" w:cs="Arial"/>
          <w:i/>
          <w:sz w:val="22"/>
          <w:szCs w:val="22"/>
        </w:rPr>
        <w:t>.</w:t>
      </w:r>
    </w:p>
    <w:p w:rsidR="002213EF" w:rsidRPr="00AF0AA4" w:rsidRDefault="002213EF" w:rsidP="002213E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F0AA4">
        <w:rPr>
          <w:rFonts w:ascii="Arial" w:hAnsi="Arial" w:cs="Arial"/>
          <w:i/>
          <w:sz w:val="22"/>
          <w:szCs w:val="22"/>
        </w:rPr>
        <w:t xml:space="preserve">VALOR: </w:t>
      </w:r>
      <w:r w:rsidR="00521230" w:rsidRPr="00AF0AA4">
        <w:rPr>
          <w:rFonts w:ascii="Arial" w:hAnsi="Arial" w:cs="Arial"/>
          <w:i/>
          <w:sz w:val="22"/>
          <w:szCs w:val="22"/>
          <w:lang w:val="pt-PT"/>
        </w:rPr>
        <w:t>R$ 1.750,00 (mil setecentos e cinquenta reais)</w:t>
      </w:r>
    </w:p>
    <w:p w:rsidR="002213EF" w:rsidRPr="00AF0AA4" w:rsidRDefault="002213EF" w:rsidP="002213E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F0AA4">
        <w:rPr>
          <w:rFonts w:ascii="Arial" w:hAnsi="Arial" w:cs="Arial"/>
          <w:i/>
          <w:sz w:val="22"/>
          <w:szCs w:val="22"/>
        </w:rPr>
        <w:t>PROCESSO DE LICITAÇÃO Nº: 056/2019</w:t>
      </w:r>
    </w:p>
    <w:p w:rsidR="002213EF" w:rsidRPr="00AF0AA4" w:rsidRDefault="002213EF" w:rsidP="002213E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F0AA4">
        <w:rPr>
          <w:rFonts w:ascii="Arial" w:hAnsi="Arial" w:cs="Arial"/>
          <w:i/>
          <w:sz w:val="22"/>
          <w:szCs w:val="22"/>
        </w:rPr>
        <w:t>LEILÃO Nº 003/2019</w:t>
      </w:r>
    </w:p>
    <w:p w:rsidR="002213EF" w:rsidRPr="00AF0AA4" w:rsidRDefault="002213EF" w:rsidP="002213E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F0AA4">
        <w:rPr>
          <w:rFonts w:ascii="Arial" w:hAnsi="Arial" w:cs="Arial"/>
          <w:i/>
          <w:sz w:val="22"/>
          <w:szCs w:val="22"/>
        </w:rPr>
        <w:t xml:space="preserve">OBJETO: </w:t>
      </w:r>
      <w:r w:rsidRPr="00AF0AA4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2213EF" w:rsidRPr="00AF0AA4" w:rsidRDefault="002213EF" w:rsidP="002213E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F0AA4">
        <w:rPr>
          <w:rFonts w:ascii="Arial" w:hAnsi="Arial" w:cs="Arial"/>
          <w:i/>
          <w:sz w:val="22"/>
          <w:szCs w:val="22"/>
        </w:rPr>
        <w:t>TERMO INICIAL: 14/08/2019</w:t>
      </w:r>
    </w:p>
    <w:p w:rsidR="002213EF" w:rsidRPr="00AF0AA4" w:rsidRDefault="002213EF" w:rsidP="002213E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F0AA4">
        <w:rPr>
          <w:rFonts w:ascii="Arial" w:hAnsi="Arial" w:cs="Arial"/>
          <w:i/>
          <w:sz w:val="22"/>
          <w:szCs w:val="22"/>
        </w:rPr>
        <w:t>TERMO FINAL: 20/08/2019</w:t>
      </w:r>
    </w:p>
    <w:p w:rsidR="002213EF" w:rsidRPr="001F3887" w:rsidRDefault="002213EF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2213EF" w:rsidRPr="001F3887" w:rsidSect="006549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40" w:rsidRDefault="00654940" w:rsidP="00C07BDC">
      <w:r>
        <w:separator/>
      </w:r>
    </w:p>
  </w:endnote>
  <w:endnote w:type="continuationSeparator" w:id="0">
    <w:p w:rsidR="00654940" w:rsidRDefault="00654940" w:rsidP="00C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4940" w:rsidRDefault="00654940" w:rsidP="006549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3FA5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654940" w:rsidRDefault="00654940" w:rsidP="006549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40" w:rsidRDefault="00654940" w:rsidP="00C07BDC">
      <w:r>
        <w:separator/>
      </w:r>
    </w:p>
  </w:footnote>
  <w:footnote w:type="continuationSeparator" w:id="0">
    <w:p w:rsidR="00654940" w:rsidRDefault="00654940" w:rsidP="00C0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95C05">
      <w:rPr>
        <w:noProof/>
      </w:rPr>
      <w:t xml:space="preserve">12:42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B886EE" wp14:editId="531D2EDA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19B4B98" wp14:editId="5DAFDD5C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654940" w:rsidRPr="00AA0421" w:rsidTr="00654940">
      <w:trPr>
        <w:cantSplit/>
        <w:trHeight w:val="343"/>
      </w:trPr>
      <w:tc>
        <w:tcPr>
          <w:tcW w:w="4888" w:type="dxa"/>
          <w:shd w:val="clear" w:color="auto" w:fill="FFFFFF"/>
        </w:tcPr>
        <w:p w:rsidR="00654940" w:rsidRPr="00AA0421" w:rsidRDefault="00654940" w:rsidP="0065494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654940" w:rsidRPr="00E42776" w:rsidRDefault="00654940" w:rsidP="0065494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654940" w:rsidRPr="00AA0421" w:rsidTr="00654940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654940" w:rsidRPr="008F12EA" w:rsidRDefault="00654940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3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6"/>
  </w:num>
  <w:num w:numId="21">
    <w:abstractNumId w:val="17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C"/>
    <w:rsid w:val="0003117E"/>
    <w:rsid w:val="000B5E62"/>
    <w:rsid w:val="0011359C"/>
    <w:rsid w:val="00133098"/>
    <w:rsid w:val="001B4FD9"/>
    <w:rsid w:val="001F3887"/>
    <w:rsid w:val="002213EF"/>
    <w:rsid w:val="00263FA5"/>
    <w:rsid w:val="003A0ADF"/>
    <w:rsid w:val="003B38EB"/>
    <w:rsid w:val="003E2BFB"/>
    <w:rsid w:val="0040076F"/>
    <w:rsid w:val="00521230"/>
    <w:rsid w:val="0052795B"/>
    <w:rsid w:val="00654940"/>
    <w:rsid w:val="00727A7A"/>
    <w:rsid w:val="007C6E14"/>
    <w:rsid w:val="00892F80"/>
    <w:rsid w:val="008F12EA"/>
    <w:rsid w:val="0093393E"/>
    <w:rsid w:val="00995C05"/>
    <w:rsid w:val="00A07B49"/>
    <w:rsid w:val="00A85299"/>
    <w:rsid w:val="00AD19D3"/>
    <w:rsid w:val="00AF0AA4"/>
    <w:rsid w:val="00B06519"/>
    <w:rsid w:val="00C066C1"/>
    <w:rsid w:val="00C07BDC"/>
    <w:rsid w:val="00CA315A"/>
    <w:rsid w:val="00DF06EA"/>
    <w:rsid w:val="00E22EB1"/>
    <w:rsid w:val="00EB0A6D"/>
    <w:rsid w:val="00F10CEE"/>
    <w:rsid w:val="00F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2035</Words>
  <Characters>10995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51</cp:revision>
  <dcterms:created xsi:type="dcterms:W3CDTF">2019-08-13T19:42:00Z</dcterms:created>
  <dcterms:modified xsi:type="dcterms:W3CDTF">2019-08-14T15:42:00Z</dcterms:modified>
</cp:coreProperties>
</file>