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6C" w:rsidRPr="003271D9" w:rsidRDefault="00121E6C" w:rsidP="00121E6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1E6C" w:rsidRPr="003271D9" w:rsidRDefault="00121E6C" w:rsidP="00121E6C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121E6C" w:rsidRPr="003271D9" w:rsidRDefault="00121E6C" w:rsidP="00121E6C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121E6C" w:rsidRPr="003271D9" w:rsidRDefault="00121E6C" w:rsidP="00121E6C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036/2018</w:t>
      </w:r>
    </w:p>
    <w:p w:rsidR="00121E6C" w:rsidRPr="003271D9" w:rsidRDefault="00121E6C" w:rsidP="00121E6C">
      <w:pPr>
        <w:pStyle w:val="Default"/>
        <w:jc w:val="both"/>
        <w:rPr>
          <w:b/>
          <w:bCs/>
        </w:rPr>
      </w:pPr>
      <w:r>
        <w:rPr>
          <w:b/>
          <w:bCs/>
        </w:rPr>
        <w:t>DISPENSA Nº 011/2018 – ART. 24, INC. X</w:t>
      </w:r>
      <w:r w:rsidRPr="003271D9">
        <w:rPr>
          <w:b/>
          <w:bCs/>
        </w:rPr>
        <w:t xml:space="preserve"> DA LEI 8.666/93</w:t>
      </w:r>
      <w:r w:rsidR="004806A5">
        <w:rPr>
          <w:b/>
          <w:bCs/>
        </w:rPr>
        <w:t>.</w:t>
      </w:r>
    </w:p>
    <w:p w:rsidR="00121E6C" w:rsidRPr="003271D9" w:rsidRDefault="00121E6C" w:rsidP="00121E6C">
      <w:pPr>
        <w:pStyle w:val="Default"/>
        <w:jc w:val="both"/>
      </w:pPr>
      <w:r w:rsidRPr="003271D9">
        <w:rPr>
          <w:b/>
          <w:bCs/>
        </w:rPr>
        <w:t xml:space="preserve">EMENTA: </w:t>
      </w:r>
      <w:r w:rsidR="004806A5">
        <w:t>Dispensa de Licitação visando</w:t>
      </w:r>
      <w:r w:rsidRPr="003271D9">
        <w:t xml:space="preserve"> </w:t>
      </w:r>
      <w:r>
        <w:t>locação de imóvel para funcionamento do Conselho Tutelar e da Polícia Civil</w:t>
      </w:r>
      <w:r w:rsidRPr="003271D9">
        <w:t>.</w:t>
      </w:r>
    </w:p>
    <w:p w:rsidR="00121E6C" w:rsidRPr="003271D9" w:rsidRDefault="00121E6C" w:rsidP="00121E6C">
      <w:pPr>
        <w:pStyle w:val="Default"/>
        <w:jc w:val="both"/>
        <w:rPr>
          <w:bCs/>
        </w:rPr>
      </w:pPr>
    </w:p>
    <w:p w:rsidR="00121E6C" w:rsidRPr="003271D9" w:rsidRDefault="00121E6C" w:rsidP="004806A5">
      <w:pPr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21E6C" w:rsidRPr="003271D9" w:rsidRDefault="00121E6C" w:rsidP="004806A5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21E6C" w:rsidRPr="00AD516D" w:rsidRDefault="00121E6C" w:rsidP="004806A5">
      <w:pPr>
        <w:tabs>
          <w:tab w:val="left" w:pos="360"/>
        </w:tabs>
        <w:spacing w:before="240" w:after="240" w:line="360" w:lineRule="auto"/>
        <w:ind w:right="-81" w:firstLine="1701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</w:t>
      </w:r>
      <w:r>
        <w:rPr>
          <w:rFonts w:ascii="Arial" w:hAnsi="Arial" w:cs="Arial"/>
          <w:sz w:val="24"/>
          <w:szCs w:val="24"/>
        </w:rPr>
        <w:t>locação</w:t>
      </w:r>
      <w:r w:rsidRPr="003271D9">
        <w:rPr>
          <w:rFonts w:ascii="Arial" w:hAnsi="Arial" w:cs="Arial"/>
          <w:sz w:val="24"/>
          <w:szCs w:val="24"/>
        </w:rPr>
        <w:t>, destacando-se que o valor total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516D">
        <w:rPr>
          <w:rFonts w:ascii="Arial" w:hAnsi="Arial" w:cs="Arial"/>
          <w:b/>
          <w:sz w:val="24"/>
          <w:szCs w:val="24"/>
        </w:rPr>
        <w:t>R$ 7.632,00 (sete mil seiscentos e trinta e dois reais)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21E6C">
        <w:rPr>
          <w:rFonts w:ascii="Arial" w:hAnsi="Arial" w:cs="Arial"/>
          <w:sz w:val="24"/>
          <w:szCs w:val="24"/>
        </w:rPr>
        <w:t>relativo ao imóvel</w:t>
      </w:r>
      <w:r w:rsidR="008658C9">
        <w:rPr>
          <w:rFonts w:ascii="Arial" w:hAnsi="Arial" w:cs="Arial"/>
          <w:sz w:val="24"/>
          <w:szCs w:val="24"/>
        </w:rPr>
        <w:t xml:space="preserve">, localizado na Rua </w:t>
      </w:r>
      <w:proofErr w:type="spellStart"/>
      <w:r w:rsidR="008658C9">
        <w:rPr>
          <w:rFonts w:ascii="Arial" w:hAnsi="Arial" w:cs="Arial"/>
          <w:sz w:val="24"/>
          <w:szCs w:val="24"/>
        </w:rPr>
        <w:t>Randolfo</w:t>
      </w:r>
      <w:proofErr w:type="spellEnd"/>
      <w:r w:rsidR="008658C9">
        <w:rPr>
          <w:rFonts w:ascii="Arial" w:hAnsi="Arial" w:cs="Arial"/>
          <w:sz w:val="24"/>
          <w:szCs w:val="24"/>
        </w:rPr>
        <w:t xml:space="preserve"> Amaral, nº 18, Centro, </w:t>
      </w:r>
      <w:r w:rsidR="008658C9">
        <w:rPr>
          <w:rFonts w:ascii="Arial" w:hAnsi="Arial" w:cs="Arial"/>
          <w:sz w:val="24"/>
          <w:szCs w:val="24"/>
        </w:rPr>
        <w:t xml:space="preserve">Desterro do Melo, Minas Gerais, </w:t>
      </w:r>
      <w:proofErr w:type="gramStart"/>
      <w:r w:rsidRPr="00503AE8">
        <w:rPr>
          <w:rFonts w:ascii="Arial" w:hAnsi="Arial" w:cs="Arial"/>
          <w:sz w:val="24"/>
          <w:szCs w:val="24"/>
        </w:rPr>
        <w:t>sob responsabilidade</w:t>
      </w:r>
      <w:proofErr w:type="gramEnd"/>
      <w:r w:rsidRPr="00503AE8">
        <w:rPr>
          <w:rFonts w:ascii="Arial" w:hAnsi="Arial" w:cs="Arial"/>
          <w:sz w:val="24"/>
          <w:szCs w:val="24"/>
        </w:rPr>
        <w:t xml:space="preserve"> do Sr. JOSÉ MARIA DIAS, pessoa física, brasileiro, comerciante, portador da identidade nº 993650 – SSP/MG, in</w:t>
      </w:r>
      <w:r>
        <w:rPr>
          <w:rFonts w:ascii="Arial" w:hAnsi="Arial" w:cs="Arial"/>
          <w:sz w:val="24"/>
          <w:szCs w:val="24"/>
        </w:rPr>
        <w:t>s</w:t>
      </w:r>
      <w:r w:rsidRPr="00503AE8">
        <w:rPr>
          <w:rFonts w:ascii="Arial" w:hAnsi="Arial" w:cs="Arial"/>
          <w:sz w:val="24"/>
          <w:szCs w:val="24"/>
        </w:rPr>
        <w:t>crito no CPF nº 284.648.506-20 casado com a Senhora Helena das Graças Dias, portadora do RG M-993.838 e inscrita no CPF: 594.763.036-20, residentes e domiciliados na Av. Adalberto Lopes Pereira, nº 18, Centro, Dores de Campos, Minas Gerais</w:t>
      </w:r>
      <w:r w:rsidR="008658C9">
        <w:rPr>
          <w:rFonts w:ascii="Arial" w:hAnsi="Arial" w:cs="Arial"/>
          <w:sz w:val="24"/>
          <w:szCs w:val="24"/>
        </w:rPr>
        <w:t>.</w:t>
      </w:r>
    </w:p>
    <w:p w:rsidR="00121E6C" w:rsidRDefault="00121E6C" w:rsidP="004806A5">
      <w:pPr>
        <w:pStyle w:val="Corpodetexto3"/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de se destacar que o valor apurado já vem sendo praticado pela Administração na locação do mesmo imóvel, constante do Processo Licitatório 13/2014, sendo que o imóvel era destinado anteriormente ao funcionamento do Conselho Tutelar e do CRAS.</w:t>
      </w:r>
    </w:p>
    <w:p w:rsidR="00121E6C" w:rsidRDefault="00121E6C" w:rsidP="004806A5">
      <w:pPr>
        <w:pStyle w:val="Corpodetexto3"/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 com a mudança do CRAS o imóvel terá nova destinação para funcionamento do Conselho Tutelar e da Polícia Civil, motivo pelo qual se faze necessária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realização de novo procedimento licitatório.</w:t>
      </w:r>
    </w:p>
    <w:p w:rsidR="004806A5" w:rsidRPr="00C67550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0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lastRenderedPageBreak/>
        <w:t>Prescreve o art. 24, inc. X, da Lei de Licitações:</w:t>
      </w:r>
    </w:p>
    <w:p w:rsidR="004806A5" w:rsidRPr="00C67550" w:rsidRDefault="004806A5" w:rsidP="004806A5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  <w:r w:rsidRPr="00C67550">
        <w:rPr>
          <w:rFonts w:ascii="Arial" w:hAnsi="Arial" w:cs="Arial"/>
          <w:i/>
          <w:sz w:val="22"/>
          <w:szCs w:val="22"/>
        </w:rPr>
        <w:t>Art. 24. É dispensável a licitação:</w:t>
      </w:r>
    </w:p>
    <w:p w:rsidR="004806A5" w:rsidRPr="00C67550" w:rsidRDefault="004806A5" w:rsidP="004806A5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  <w:r w:rsidRPr="00C67550">
        <w:rPr>
          <w:rFonts w:ascii="Arial" w:hAnsi="Arial" w:cs="Arial"/>
          <w:i/>
          <w:sz w:val="22"/>
          <w:szCs w:val="22"/>
        </w:rPr>
        <w:t>(...)</w:t>
      </w:r>
    </w:p>
    <w:p w:rsidR="004806A5" w:rsidRPr="00C67550" w:rsidRDefault="004806A5" w:rsidP="004806A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67550">
        <w:rPr>
          <w:rFonts w:ascii="Arial" w:hAnsi="Arial" w:cs="Arial"/>
          <w:i/>
          <w:sz w:val="22"/>
          <w:szCs w:val="22"/>
        </w:rPr>
        <w:t>X - para a compra ou locação de imóvel destinado ao atendimento das finalidades precípuas da administração, cujas necessidades de instalação e localização condicionem a sua escolha, desde que o preço seja compatível com o valor de mercado, segundo avaliação prévia.</w:t>
      </w:r>
    </w:p>
    <w:p w:rsidR="004806A5" w:rsidRPr="00C67550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0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 xml:space="preserve">Nos termos do dispositivo </w:t>
      </w:r>
      <w:r w:rsidRPr="00C67550">
        <w:rPr>
          <w:rFonts w:ascii="Arial" w:hAnsi="Arial" w:cs="Arial"/>
          <w:bCs/>
          <w:i/>
          <w:sz w:val="24"/>
          <w:szCs w:val="24"/>
        </w:rPr>
        <w:t>retro</w:t>
      </w:r>
      <w:r w:rsidRPr="00C67550">
        <w:rPr>
          <w:rFonts w:ascii="Arial" w:hAnsi="Arial" w:cs="Arial"/>
          <w:bCs/>
          <w:sz w:val="24"/>
          <w:szCs w:val="24"/>
        </w:rPr>
        <w:t>, é possível dispensar a licitação quando for identificada a presença dos seguintes elementos:</w:t>
      </w:r>
    </w:p>
    <w:p w:rsidR="004806A5" w:rsidRPr="00C67550" w:rsidRDefault="004806A5" w:rsidP="004806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 xml:space="preserve">a) A </w:t>
      </w:r>
      <w:r w:rsidRPr="00C67550">
        <w:rPr>
          <w:rFonts w:ascii="Arial" w:hAnsi="Arial" w:cs="Arial"/>
          <w:i/>
          <w:sz w:val="24"/>
          <w:szCs w:val="24"/>
        </w:rPr>
        <w:t>locação do imóvel deve atender às finalidades precípuas da administração</w:t>
      </w:r>
      <w:r w:rsidRPr="00C67550">
        <w:rPr>
          <w:rFonts w:ascii="Arial" w:hAnsi="Arial" w:cs="Arial"/>
          <w:bCs/>
          <w:sz w:val="24"/>
          <w:szCs w:val="24"/>
        </w:rPr>
        <w:t>;</w:t>
      </w:r>
    </w:p>
    <w:p w:rsidR="004806A5" w:rsidRPr="00C67550" w:rsidRDefault="004806A5" w:rsidP="004806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>b) N</w:t>
      </w:r>
      <w:r w:rsidRPr="00C67550">
        <w:rPr>
          <w:rFonts w:ascii="Arial" w:hAnsi="Arial" w:cs="Arial"/>
          <w:i/>
          <w:sz w:val="24"/>
          <w:szCs w:val="24"/>
        </w:rPr>
        <w:t>ecessidades de instalação e localização condicionem a sua escolha</w:t>
      </w:r>
      <w:r w:rsidRPr="00C67550">
        <w:rPr>
          <w:rFonts w:ascii="Arial" w:hAnsi="Arial" w:cs="Arial"/>
          <w:bCs/>
          <w:sz w:val="24"/>
          <w:szCs w:val="24"/>
        </w:rPr>
        <w:t>;</w:t>
      </w:r>
    </w:p>
    <w:p w:rsidR="004806A5" w:rsidRPr="00C67550" w:rsidRDefault="004806A5" w:rsidP="004806A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C67550">
        <w:rPr>
          <w:rFonts w:ascii="Arial" w:hAnsi="Arial" w:cs="Arial"/>
          <w:bCs/>
        </w:rPr>
        <w:t xml:space="preserve">c) </w:t>
      </w:r>
      <w:r w:rsidRPr="00C67550">
        <w:rPr>
          <w:rFonts w:ascii="Arial" w:hAnsi="Arial" w:cs="Arial"/>
        </w:rPr>
        <w:t>o preço seja compatível com o valor de mercado, segundo avaliação prévia</w:t>
      </w:r>
      <w:r w:rsidRPr="00C67550">
        <w:rPr>
          <w:rFonts w:ascii="Arial" w:hAnsi="Arial" w:cs="Arial"/>
          <w:bCs/>
        </w:rPr>
        <w:t>;</w:t>
      </w:r>
    </w:p>
    <w:p w:rsidR="004806A5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0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>Portanto consideramos:</w:t>
      </w:r>
    </w:p>
    <w:p w:rsidR="004806A5" w:rsidRPr="00C67550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2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 xml:space="preserve">Conforme </w:t>
      </w:r>
      <w:r>
        <w:rPr>
          <w:rFonts w:ascii="Arial" w:hAnsi="Arial" w:cs="Arial"/>
          <w:bCs/>
          <w:sz w:val="24"/>
          <w:szCs w:val="24"/>
        </w:rPr>
        <w:t xml:space="preserve">valores já praticados pela Administração e valores de mercado local, </w:t>
      </w:r>
      <w:r w:rsidRPr="00C67550">
        <w:rPr>
          <w:rFonts w:ascii="Arial" w:hAnsi="Arial" w:cs="Arial"/>
          <w:bCs/>
          <w:sz w:val="24"/>
          <w:szCs w:val="24"/>
        </w:rPr>
        <w:t>o imóvel atende a todos os requisitos necessários ao bom funcionamento e desempenho das atividades do Conselho Tutelar</w:t>
      </w:r>
      <w:r>
        <w:rPr>
          <w:rFonts w:ascii="Arial" w:hAnsi="Arial" w:cs="Arial"/>
          <w:bCs/>
          <w:sz w:val="24"/>
          <w:szCs w:val="24"/>
        </w:rPr>
        <w:t xml:space="preserve"> e Polícia Civil</w:t>
      </w:r>
      <w:r w:rsidRPr="00C67550">
        <w:rPr>
          <w:rFonts w:ascii="Arial" w:hAnsi="Arial" w:cs="Arial"/>
          <w:bCs/>
          <w:sz w:val="24"/>
          <w:szCs w:val="24"/>
        </w:rPr>
        <w:t xml:space="preserve">, principalmente na situação de acessibilidade, considerando que o imóvel fica na saída da escola Municipal </w:t>
      </w:r>
      <w:proofErr w:type="spellStart"/>
      <w:r w:rsidRPr="00C67550">
        <w:rPr>
          <w:rFonts w:ascii="Arial" w:hAnsi="Arial" w:cs="Arial"/>
          <w:bCs/>
          <w:sz w:val="24"/>
          <w:szCs w:val="24"/>
        </w:rPr>
        <w:t>Tita</w:t>
      </w:r>
      <w:proofErr w:type="spellEnd"/>
      <w:r w:rsidRPr="00C675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67550">
        <w:rPr>
          <w:rFonts w:ascii="Arial" w:hAnsi="Arial" w:cs="Arial"/>
          <w:bCs/>
          <w:sz w:val="24"/>
          <w:szCs w:val="24"/>
        </w:rPr>
        <w:t>Tafuri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Centro do Município</w:t>
      </w:r>
      <w:r w:rsidRPr="00C67550">
        <w:rPr>
          <w:rFonts w:ascii="Arial" w:hAnsi="Arial" w:cs="Arial"/>
          <w:bCs/>
          <w:sz w:val="24"/>
          <w:szCs w:val="24"/>
        </w:rPr>
        <w:t>, permitindo acompanhamento instantâneo</w:t>
      </w:r>
      <w:r>
        <w:rPr>
          <w:rFonts w:ascii="Arial" w:hAnsi="Arial" w:cs="Arial"/>
          <w:bCs/>
          <w:sz w:val="24"/>
          <w:szCs w:val="24"/>
        </w:rPr>
        <w:t xml:space="preserve"> dos menores na porta da escola pelo Conselho e atendimento à população de forma geral pela Polícia Civil.</w:t>
      </w:r>
    </w:p>
    <w:p w:rsidR="004806A5" w:rsidRPr="00C67550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2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 xml:space="preserve">Quanto ao imóvel, o mesmo possui amplo espaço, totalmente reformado, com banheiros em perfeitas condições, possibilitando assim </w:t>
      </w:r>
      <w:proofErr w:type="gramStart"/>
      <w:r w:rsidRPr="00C67550">
        <w:rPr>
          <w:rFonts w:ascii="Arial" w:hAnsi="Arial" w:cs="Arial"/>
          <w:bCs/>
          <w:sz w:val="24"/>
          <w:szCs w:val="24"/>
        </w:rPr>
        <w:t>otimização</w:t>
      </w:r>
      <w:proofErr w:type="gramEnd"/>
      <w:r w:rsidRPr="00C67550">
        <w:rPr>
          <w:rFonts w:ascii="Arial" w:hAnsi="Arial" w:cs="Arial"/>
          <w:bCs/>
          <w:sz w:val="24"/>
          <w:szCs w:val="24"/>
        </w:rPr>
        <w:t xml:space="preserve"> e eficiência na prestação dos serviços.</w:t>
      </w:r>
    </w:p>
    <w:p w:rsidR="004806A5" w:rsidRPr="00C67550" w:rsidRDefault="004806A5" w:rsidP="004806A5">
      <w:pPr>
        <w:autoSpaceDE w:val="0"/>
        <w:autoSpaceDN w:val="0"/>
        <w:adjustRightInd w:val="0"/>
        <w:spacing w:before="240" w:after="240" w:line="360" w:lineRule="auto"/>
        <w:ind w:firstLine="1622"/>
        <w:jc w:val="both"/>
        <w:rPr>
          <w:rFonts w:ascii="Arial" w:hAnsi="Arial" w:cs="Arial"/>
          <w:bCs/>
          <w:sz w:val="24"/>
          <w:szCs w:val="24"/>
        </w:rPr>
      </w:pPr>
      <w:r w:rsidRPr="00C67550">
        <w:rPr>
          <w:rFonts w:ascii="Arial" w:hAnsi="Arial" w:cs="Arial"/>
          <w:bCs/>
          <w:sz w:val="24"/>
          <w:szCs w:val="24"/>
        </w:rPr>
        <w:t xml:space="preserve">Definimos então que na hipótese de cumprimento de todas as exigências elencadas nesta diligência, a dispensa apresenta-se como viável, com fulcro no art. 25, X, da Lei de Licitações. </w:t>
      </w:r>
    </w:p>
    <w:p w:rsidR="00121E6C" w:rsidRPr="003271D9" w:rsidRDefault="004806A5" w:rsidP="008658C9">
      <w:pPr>
        <w:spacing w:before="240" w:after="240" w:line="360" w:lineRule="auto"/>
        <w:ind w:firstLine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="00121E6C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121E6C">
        <w:rPr>
          <w:rFonts w:ascii="Arial" w:hAnsi="Arial" w:cs="Arial"/>
          <w:sz w:val="24"/>
          <w:szCs w:val="24"/>
        </w:rPr>
        <w:t xml:space="preserve"> de 2018</w:t>
      </w:r>
      <w:r w:rsidR="00121E6C" w:rsidRPr="003271D9">
        <w:rPr>
          <w:rFonts w:ascii="Arial" w:hAnsi="Arial" w:cs="Arial"/>
          <w:sz w:val="24"/>
          <w:szCs w:val="24"/>
        </w:rPr>
        <w:t>.</w:t>
      </w:r>
    </w:p>
    <w:p w:rsidR="00121E6C" w:rsidRPr="004B18F1" w:rsidRDefault="00121E6C" w:rsidP="004806A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121E6C" w:rsidRPr="004B18F1" w:rsidRDefault="00121E6C" w:rsidP="004806A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21E6C" w:rsidRPr="004B18F1" w:rsidRDefault="00121E6C" w:rsidP="004806A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21E6C" w:rsidRDefault="00121E6C" w:rsidP="004806A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121E6C" w:rsidRPr="004B18F1" w:rsidRDefault="00121E6C" w:rsidP="004806A5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121E6C" w:rsidRPr="004B18F1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DF" w:rsidRDefault="002B0FDF">
      <w:r>
        <w:separator/>
      </w:r>
    </w:p>
  </w:endnote>
  <w:endnote w:type="continuationSeparator" w:id="0">
    <w:p w:rsidR="002B0FDF" w:rsidRDefault="002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806A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806A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DF" w:rsidRDefault="002B0FDF">
      <w:r>
        <w:separator/>
      </w:r>
    </w:p>
  </w:footnote>
  <w:footnote w:type="continuationSeparator" w:id="0">
    <w:p w:rsidR="002B0FDF" w:rsidRDefault="002B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806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9C9C7" wp14:editId="67DE94F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C"/>
    <w:rsid w:val="00121E6C"/>
    <w:rsid w:val="002B0FDF"/>
    <w:rsid w:val="004806A5"/>
    <w:rsid w:val="007720F5"/>
    <w:rsid w:val="008658C9"/>
    <w:rsid w:val="009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21E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21E6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21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E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1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1E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21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21E6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21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21E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21E6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21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E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1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1E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21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21E6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21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2018-05-03T13:34:00Z</dcterms:created>
  <dcterms:modified xsi:type="dcterms:W3CDTF">2018-05-09T13:22:00Z</dcterms:modified>
</cp:coreProperties>
</file>